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294" w:rsidRDefault="00000294" w:rsidP="00D13F9A">
      <w:pPr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D13F9A" w:rsidRDefault="00000294" w:rsidP="00D13F9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Buget de venituri si cheltuieli</w:t>
      </w:r>
    </w:p>
    <w:p w:rsidR="00000294" w:rsidRPr="00D13F9A" w:rsidRDefault="00000294" w:rsidP="00D13F9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2018</w:t>
      </w:r>
    </w:p>
    <w:p w:rsidR="0058685B" w:rsidRPr="00D13F9A" w:rsidRDefault="0058685B">
      <w:pPr>
        <w:rPr>
          <w:rFonts w:ascii="Tahoma" w:hAnsi="Tahoma" w:cs="Tahoma"/>
        </w:rPr>
      </w:pPr>
    </w:p>
    <w:p w:rsidR="00D13F9A" w:rsidRDefault="00D13F9A">
      <w:pPr>
        <w:rPr>
          <w:rFonts w:ascii="Tahoma" w:hAnsi="Tahoma" w:cs="Tahoma"/>
        </w:rPr>
      </w:pPr>
      <w:r>
        <w:rPr>
          <w:rFonts w:ascii="Tahoma" w:hAnsi="Tahoma" w:cs="Tahoma"/>
        </w:rPr>
        <w:t>Premise :</w:t>
      </w:r>
    </w:p>
    <w:p w:rsidR="00D13F9A" w:rsidRDefault="00D13F9A">
      <w:pPr>
        <w:rPr>
          <w:rFonts w:ascii="Tahoma" w:hAnsi="Tahoma" w:cs="Tahoma"/>
        </w:rPr>
      </w:pPr>
    </w:p>
    <w:p w:rsidR="00312AE2" w:rsidRDefault="00D13F9A" w:rsidP="00312AE2">
      <w:pPr>
        <w:pStyle w:val="ListParagraph"/>
        <w:numPr>
          <w:ilvl w:val="0"/>
          <w:numId w:val="25"/>
        </w:numPr>
        <w:rPr>
          <w:rFonts w:ascii="Tahoma" w:hAnsi="Tahoma" w:cs="Tahoma"/>
        </w:rPr>
      </w:pPr>
      <w:r w:rsidRPr="0044404A">
        <w:rPr>
          <w:rFonts w:ascii="Tahoma" w:hAnsi="Tahoma" w:cs="Tahoma"/>
        </w:rPr>
        <w:t>In contextul unei piete</w:t>
      </w:r>
      <w:r w:rsidR="0044404A">
        <w:rPr>
          <w:rFonts w:ascii="Tahoma" w:hAnsi="Tahoma" w:cs="Tahoma"/>
        </w:rPr>
        <w:t xml:space="preserve"> in care ponderea asigurarilor </w:t>
      </w:r>
      <w:r w:rsidRPr="0044404A">
        <w:rPr>
          <w:rFonts w:ascii="Tahoma" w:hAnsi="Tahoma" w:cs="Tahoma"/>
        </w:rPr>
        <w:t>auto, si in special asigurarilor RCA este predominanta, prima medie pe aceasta clasa de asigurare are o influenta majora asupra volumului de prime intermed</w:t>
      </w:r>
      <w:r w:rsidR="0044404A" w:rsidRPr="0044404A">
        <w:rPr>
          <w:rFonts w:ascii="Tahoma" w:hAnsi="Tahoma" w:cs="Tahoma"/>
        </w:rPr>
        <w:t xml:space="preserve">iate. Pe parcursul anului 2017 </w:t>
      </w:r>
      <w:r w:rsidRPr="0044404A">
        <w:rPr>
          <w:rFonts w:ascii="Tahoma" w:hAnsi="Tahoma" w:cs="Tahoma"/>
        </w:rPr>
        <w:t xml:space="preserve">prima medie a suferit o scadere </w:t>
      </w:r>
      <w:r w:rsidR="0044404A" w:rsidRPr="0044404A">
        <w:rPr>
          <w:rFonts w:ascii="Tahoma" w:hAnsi="Tahoma" w:cs="Tahoma"/>
        </w:rPr>
        <w:t>accentuata</w:t>
      </w:r>
      <w:r w:rsidRPr="0044404A">
        <w:rPr>
          <w:rFonts w:ascii="Tahoma" w:hAnsi="Tahoma" w:cs="Tahoma"/>
        </w:rPr>
        <w:t xml:space="preserve">, provenita </w:t>
      </w:r>
      <w:r w:rsidR="0044404A" w:rsidRPr="0044404A">
        <w:rPr>
          <w:rFonts w:ascii="Tahoma" w:hAnsi="Tahoma" w:cs="Tahoma"/>
        </w:rPr>
        <w:t>pe de o parte din</w:t>
      </w:r>
      <w:r w:rsidRPr="0044404A">
        <w:rPr>
          <w:rFonts w:ascii="Tahoma" w:hAnsi="Tahoma" w:cs="Tahoma"/>
        </w:rPr>
        <w:t xml:space="preserve"> plafonarea </w:t>
      </w:r>
      <w:r w:rsidR="0044404A" w:rsidRPr="0044404A">
        <w:rPr>
          <w:rFonts w:ascii="Tahoma" w:hAnsi="Tahoma" w:cs="Tahoma"/>
        </w:rPr>
        <w:t xml:space="preserve">de catre ASF a tarifelor la aceste polite, si pe de alta parte din incheierea politelor </w:t>
      </w:r>
      <w:r w:rsidR="0044404A">
        <w:rPr>
          <w:rFonts w:ascii="Tahoma" w:hAnsi="Tahoma" w:cs="Tahoma"/>
        </w:rPr>
        <w:t>RCA</w:t>
      </w:r>
      <w:r w:rsidR="0044404A" w:rsidRPr="0044404A">
        <w:rPr>
          <w:rFonts w:ascii="Tahoma" w:hAnsi="Tahoma" w:cs="Tahoma"/>
        </w:rPr>
        <w:t xml:space="preserve"> pe durate de timp mai mici</w:t>
      </w:r>
      <w:r w:rsidR="0044404A">
        <w:rPr>
          <w:rFonts w:ascii="Tahoma" w:hAnsi="Tahoma" w:cs="Tahoma"/>
        </w:rPr>
        <w:t>, o data cu posibilitatea emiterii acestora pe o perioada de o luna de zile. Astfel, cu toate ca numarul politelor emise de catre Transilvania Broker a fost mai mare in 2017 decat in 2016, volumul primelor intermediate a scazut cu circa 6%. Anul 201</w:t>
      </w:r>
      <w:r w:rsidR="00312AE2">
        <w:rPr>
          <w:rFonts w:ascii="Tahoma" w:hAnsi="Tahoma" w:cs="Tahoma"/>
        </w:rPr>
        <w:t>8 a debutat in acelasi context, la data de 18 martie scaderea volumului de prime intermediate fata de aceeasi perioada a anului 2017 fiind de circa 6%. Cu toate acestea, preconizam ca pana la finalul anului vom reusi recuperarea acestor diferente, astfel incat volumul primelor intermediate sa fie cel putin la acelasi nivel ca cel al anului 2017.</w:t>
      </w:r>
      <w:r w:rsidR="00B85421">
        <w:rPr>
          <w:rFonts w:ascii="Tahoma" w:hAnsi="Tahoma" w:cs="Tahoma"/>
        </w:rPr>
        <w:t xml:space="preserve"> </w:t>
      </w:r>
      <w:r w:rsidR="00312AE2">
        <w:rPr>
          <w:rFonts w:ascii="Tahoma" w:hAnsi="Tahoma" w:cs="Tahoma"/>
        </w:rPr>
        <w:t>Ne bazam estimarea</w:t>
      </w:r>
      <w:r w:rsidR="003935C2">
        <w:rPr>
          <w:rFonts w:ascii="Tahoma" w:hAnsi="Tahoma" w:cs="Tahoma"/>
        </w:rPr>
        <w:t xml:space="preserve"> </w:t>
      </w:r>
      <w:r w:rsidR="00312AE2">
        <w:rPr>
          <w:rFonts w:ascii="Tahoma" w:hAnsi="Tahoma" w:cs="Tahoma"/>
        </w:rPr>
        <w:t>pe cresterea retelei de colaboratori, in acest moment fiind in plin proces de promovare/recrutare,</w:t>
      </w:r>
      <w:r w:rsidR="003935C2">
        <w:rPr>
          <w:rFonts w:ascii="Tahoma" w:hAnsi="Tahoma" w:cs="Tahoma"/>
        </w:rPr>
        <w:t xml:space="preserve"> pe cresterea ponderilo</w:t>
      </w:r>
      <w:r w:rsidR="00DF3AB4">
        <w:rPr>
          <w:rFonts w:ascii="Tahoma" w:hAnsi="Tahoma" w:cs="Tahoma"/>
        </w:rPr>
        <w:t>r asigurarilor facultative in p</w:t>
      </w:r>
      <w:r w:rsidR="003935C2">
        <w:rPr>
          <w:rFonts w:ascii="Tahoma" w:hAnsi="Tahoma" w:cs="Tahoma"/>
        </w:rPr>
        <w:t>o</w:t>
      </w:r>
      <w:r w:rsidR="00DF3AB4">
        <w:rPr>
          <w:rFonts w:ascii="Tahoma" w:hAnsi="Tahoma" w:cs="Tahoma"/>
        </w:rPr>
        <w:t>r</w:t>
      </w:r>
      <w:r w:rsidR="003935C2">
        <w:rPr>
          <w:rFonts w:ascii="Tahoma" w:hAnsi="Tahoma" w:cs="Tahoma"/>
        </w:rPr>
        <w:t>tofoliul companiei,</w:t>
      </w:r>
      <w:r w:rsidR="00312AE2">
        <w:rPr>
          <w:rFonts w:ascii="Tahoma" w:hAnsi="Tahoma" w:cs="Tahoma"/>
        </w:rPr>
        <w:t xml:space="preserve"> cat si pe </w:t>
      </w:r>
      <w:r w:rsidR="00000294">
        <w:rPr>
          <w:rFonts w:ascii="Tahoma" w:hAnsi="Tahoma" w:cs="Tahoma"/>
        </w:rPr>
        <w:t xml:space="preserve">o usoara crestere a </w:t>
      </w:r>
      <w:r w:rsidR="00312AE2">
        <w:rPr>
          <w:rFonts w:ascii="Tahoma" w:hAnsi="Tahoma" w:cs="Tahoma"/>
        </w:rPr>
        <w:t>tarifelor</w:t>
      </w:r>
      <w:r w:rsidR="00000294">
        <w:rPr>
          <w:rFonts w:ascii="Tahoma" w:hAnsi="Tahoma" w:cs="Tahoma"/>
        </w:rPr>
        <w:t xml:space="preserve"> RCA. </w:t>
      </w:r>
    </w:p>
    <w:p w:rsidR="003935C2" w:rsidRDefault="003935C2" w:rsidP="00312AE2">
      <w:pPr>
        <w:pStyle w:val="ListParagraph"/>
        <w:numPr>
          <w:ilvl w:val="0"/>
          <w:numId w:val="25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Pe acelasi fond al limitarii primei maximale la rca, a aparut si o scadere a comisioanelor acordate de catre asiguratori catre intermediari. </w:t>
      </w:r>
      <w:r w:rsidR="00000294">
        <w:rPr>
          <w:rFonts w:ascii="Tahoma" w:hAnsi="Tahoma" w:cs="Tahoma"/>
        </w:rPr>
        <w:t xml:space="preserve">In ceea ce priveste Transilvania Broker, comisionul mediu a scazut </w:t>
      </w:r>
      <w:r>
        <w:rPr>
          <w:rFonts w:ascii="Tahoma" w:hAnsi="Tahoma" w:cs="Tahoma"/>
        </w:rPr>
        <w:t>de la 17% in 2016 la 15,8% in 2017. In acest an, estimam un comision mediu de circa 17%, in crestere fata de anul trecut. La data de 18 martie 2018, comisionul me</w:t>
      </w:r>
      <w:r w:rsidR="0058685B">
        <w:rPr>
          <w:rFonts w:ascii="Tahoma" w:hAnsi="Tahoma" w:cs="Tahoma"/>
        </w:rPr>
        <w:t>diu al perioadei era</w:t>
      </w:r>
      <w:r>
        <w:rPr>
          <w:rFonts w:ascii="Tahoma" w:hAnsi="Tahoma" w:cs="Tahoma"/>
        </w:rPr>
        <w:t xml:space="preserve"> de </w:t>
      </w:r>
      <w:r w:rsidR="00DF3AB4">
        <w:rPr>
          <w:rFonts w:ascii="Tahoma" w:hAnsi="Tahoma" w:cs="Tahoma"/>
        </w:rPr>
        <w:t>1</w:t>
      </w:r>
      <w:r>
        <w:rPr>
          <w:rFonts w:ascii="Tahoma" w:hAnsi="Tahoma" w:cs="Tahoma"/>
        </w:rPr>
        <w:t>7,41%.</w:t>
      </w:r>
    </w:p>
    <w:p w:rsidR="00312AE2" w:rsidRDefault="003935C2" w:rsidP="00312AE2">
      <w:pPr>
        <w:pStyle w:val="ListParagraph"/>
        <w:numPr>
          <w:ilvl w:val="0"/>
          <w:numId w:val="25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58685B">
        <w:rPr>
          <w:rFonts w:ascii="Tahoma" w:hAnsi="Tahoma" w:cs="Tahoma"/>
        </w:rPr>
        <w:t>Cea mai importanta cheltuiala a companiei este cea cu colaboratorii, estimam o usoara scadere procentuala fata de anul anterior.</w:t>
      </w:r>
    </w:p>
    <w:p w:rsidR="00B85421" w:rsidRDefault="00B85421" w:rsidP="00312AE2">
      <w:pPr>
        <w:pStyle w:val="ListParagraph"/>
        <w:numPr>
          <w:ilvl w:val="0"/>
          <w:numId w:val="25"/>
        </w:numPr>
        <w:rPr>
          <w:rFonts w:ascii="Tahoma" w:hAnsi="Tahoma" w:cs="Tahoma"/>
        </w:rPr>
      </w:pPr>
      <w:r>
        <w:rPr>
          <w:rFonts w:ascii="Tahoma" w:hAnsi="Tahoma" w:cs="Tahoma"/>
        </w:rPr>
        <w:t>Preconizam o crestere a cheltuielilor totale cu circa 6%, provenita din necesitatea implementarii Regulamentului GDPR, implementarea unei versiuni noi a aplicatiei de emitere si gestiune a politelor de asigurare, precum si din cresteri salariale.</w:t>
      </w:r>
    </w:p>
    <w:p w:rsidR="0058685B" w:rsidRPr="00B85421" w:rsidRDefault="0058685B" w:rsidP="00B85421">
      <w:pPr>
        <w:rPr>
          <w:rFonts w:ascii="Tahoma" w:hAnsi="Tahoma" w:cs="Tahoma"/>
        </w:rPr>
      </w:pPr>
    </w:p>
    <w:p w:rsidR="0058685B" w:rsidRDefault="0058685B" w:rsidP="00B85421">
      <w:pPr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Concluzionand, estimam sa incheiem anul 2018 cu o cifra de afaceri in crestere cu circa 7</w:t>
      </w:r>
      <w:r w:rsidR="00B85421">
        <w:rPr>
          <w:rFonts w:ascii="Tahoma" w:hAnsi="Tahoma" w:cs="Tahoma"/>
        </w:rPr>
        <w:t>,5%, si un profit mai mare cu 11</w:t>
      </w:r>
      <w:r>
        <w:rPr>
          <w:rFonts w:ascii="Tahoma" w:hAnsi="Tahoma" w:cs="Tahoma"/>
        </w:rPr>
        <w:t>% decat ce</w:t>
      </w:r>
      <w:r w:rsidR="00DF3AB4">
        <w:rPr>
          <w:rFonts w:ascii="Tahoma" w:hAnsi="Tahoma" w:cs="Tahoma"/>
        </w:rPr>
        <w:t>l al anului precedent.</w:t>
      </w:r>
    </w:p>
    <w:p w:rsidR="00000294" w:rsidRDefault="00000294" w:rsidP="0058685B">
      <w:pPr>
        <w:rPr>
          <w:rFonts w:ascii="Tahoma" w:hAnsi="Tahoma" w:cs="Tahoma"/>
        </w:rPr>
      </w:pPr>
    </w:p>
    <w:p w:rsidR="00000294" w:rsidRDefault="00000294" w:rsidP="0058685B">
      <w:pPr>
        <w:rPr>
          <w:rFonts w:ascii="Tahoma" w:hAnsi="Tahoma" w:cs="Tahoma"/>
        </w:rPr>
      </w:pPr>
    </w:p>
    <w:p w:rsidR="00000294" w:rsidRDefault="00000294" w:rsidP="0058685B">
      <w:pPr>
        <w:rPr>
          <w:rFonts w:ascii="Tahoma" w:hAnsi="Tahoma" w:cs="Tahoma"/>
        </w:rPr>
      </w:pPr>
    </w:p>
    <w:p w:rsidR="00000294" w:rsidRDefault="00000294" w:rsidP="0058685B">
      <w:pPr>
        <w:rPr>
          <w:rFonts w:ascii="Tahoma" w:hAnsi="Tahoma" w:cs="Tahoma"/>
        </w:rPr>
      </w:pPr>
    </w:p>
    <w:p w:rsidR="00B85421" w:rsidRDefault="00B85421" w:rsidP="0058685B">
      <w:pPr>
        <w:rPr>
          <w:rFonts w:ascii="Tahoma" w:hAnsi="Tahoma" w:cs="Tahoma"/>
        </w:rPr>
      </w:pPr>
    </w:p>
    <w:p w:rsidR="00000294" w:rsidRDefault="00000294" w:rsidP="0058685B">
      <w:pPr>
        <w:rPr>
          <w:rFonts w:ascii="Tahoma" w:hAnsi="Tahoma" w:cs="Tahoma"/>
        </w:rPr>
      </w:pP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760"/>
        <w:gridCol w:w="6460"/>
        <w:gridCol w:w="1800"/>
      </w:tblGrid>
      <w:tr w:rsidR="00000294" w:rsidRPr="00000294" w:rsidTr="00000294">
        <w:trPr>
          <w:trHeight w:val="28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 w:rsidRPr="0000029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 w:rsidRPr="00000294">
              <w:rPr>
                <w:b/>
                <w:bCs/>
                <w:color w:val="000000"/>
                <w:sz w:val="20"/>
                <w:szCs w:val="20"/>
              </w:rPr>
              <w:t>VENITURI TOTALE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 w:rsidRPr="00000294">
              <w:rPr>
                <w:b/>
                <w:bCs/>
                <w:color w:val="000000"/>
                <w:sz w:val="20"/>
                <w:szCs w:val="20"/>
              </w:rPr>
              <w:t xml:space="preserve">           57,902,800.00 </w:t>
            </w:r>
          </w:p>
        </w:tc>
      </w:tr>
      <w:tr w:rsidR="00000294" w:rsidRPr="00000294" w:rsidTr="00000294">
        <w:trPr>
          <w:trHeight w:val="28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color w:val="000000"/>
                <w:sz w:val="20"/>
                <w:szCs w:val="20"/>
              </w:rPr>
            </w:pPr>
            <w:r w:rsidRPr="00000294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textAlignment w:val="auto"/>
              <w:rPr>
                <w:color w:val="000000"/>
                <w:sz w:val="20"/>
                <w:szCs w:val="20"/>
              </w:rPr>
            </w:pPr>
            <w:r w:rsidRPr="00000294">
              <w:rPr>
                <w:color w:val="000000"/>
                <w:sz w:val="20"/>
                <w:szCs w:val="20"/>
              </w:rPr>
              <w:t>Venituri din activitatea de brokeraj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textAlignment w:val="auto"/>
              <w:rPr>
                <w:color w:val="000000"/>
                <w:sz w:val="20"/>
                <w:szCs w:val="20"/>
              </w:rPr>
            </w:pPr>
            <w:r w:rsidRPr="00000294">
              <w:rPr>
                <w:color w:val="000000"/>
                <w:sz w:val="20"/>
                <w:szCs w:val="20"/>
              </w:rPr>
              <w:t xml:space="preserve">           57,800,000.00 </w:t>
            </w:r>
          </w:p>
        </w:tc>
      </w:tr>
      <w:tr w:rsidR="00000294" w:rsidRPr="00000294" w:rsidTr="00000294">
        <w:trPr>
          <w:trHeight w:val="28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color w:val="000000"/>
                <w:sz w:val="20"/>
                <w:szCs w:val="20"/>
              </w:rPr>
            </w:pPr>
            <w:r w:rsidRPr="00000294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textAlignment w:val="auto"/>
              <w:rPr>
                <w:color w:val="000000"/>
                <w:sz w:val="20"/>
                <w:szCs w:val="20"/>
              </w:rPr>
            </w:pPr>
            <w:r w:rsidRPr="00000294">
              <w:rPr>
                <w:color w:val="000000"/>
                <w:sz w:val="20"/>
                <w:szCs w:val="20"/>
              </w:rPr>
              <w:t>Alte venituri din exploatare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textAlignment w:val="auto"/>
              <w:rPr>
                <w:color w:val="000000"/>
                <w:sz w:val="20"/>
                <w:szCs w:val="20"/>
              </w:rPr>
            </w:pPr>
            <w:r w:rsidRPr="00000294">
              <w:rPr>
                <w:color w:val="000000"/>
                <w:sz w:val="20"/>
                <w:szCs w:val="20"/>
              </w:rPr>
              <w:t xml:space="preserve">                100,000.00 </w:t>
            </w:r>
          </w:p>
        </w:tc>
      </w:tr>
      <w:tr w:rsidR="00000294" w:rsidRPr="00000294" w:rsidTr="00000294">
        <w:trPr>
          <w:trHeight w:val="28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color w:val="000000"/>
                <w:sz w:val="20"/>
                <w:szCs w:val="20"/>
              </w:rPr>
            </w:pPr>
            <w:r w:rsidRPr="00000294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textAlignment w:val="auto"/>
              <w:rPr>
                <w:color w:val="000000"/>
                <w:sz w:val="20"/>
                <w:szCs w:val="20"/>
              </w:rPr>
            </w:pPr>
            <w:r w:rsidRPr="00000294">
              <w:rPr>
                <w:color w:val="000000"/>
                <w:sz w:val="20"/>
                <w:szCs w:val="20"/>
              </w:rPr>
              <w:t>Venituri financiare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textAlignment w:val="auto"/>
              <w:rPr>
                <w:color w:val="000000"/>
                <w:sz w:val="20"/>
                <w:szCs w:val="20"/>
              </w:rPr>
            </w:pPr>
            <w:r w:rsidRPr="00000294">
              <w:rPr>
                <w:color w:val="000000"/>
                <w:sz w:val="20"/>
                <w:szCs w:val="20"/>
              </w:rPr>
              <w:t xml:space="preserve">                     2,800.00 </w:t>
            </w:r>
          </w:p>
        </w:tc>
      </w:tr>
      <w:tr w:rsidR="00000294" w:rsidRPr="00000294" w:rsidTr="00000294">
        <w:trPr>
          <w:trHeight w:val="28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 w:rsidRPr="0000029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 w:rsidRPr="00000294">
              <w:rPr>
                <w:b/>
                <w:bCs/>
                <w:color w:val="000000"/>
                <w:sz w:val="20"/>
                <w:szCs w:val="20"/>
              </w:rPr>
              <w:t>CHELTUIELI TOTALE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 w:rsidRPr="00000294">
              <w:rPr>
                <w:b/>
                <w:bCs/>
                <w:color w:val="000000"/>
                <w:sz w:val="20"/>
                <w:szCs w:val="20"/>
              </w:rPr>
              <w:t xml:space="preserve">           53,420,063.87 </w:t>
            </w:r>
          </w:p>
        </w:tc>
      </w:tr>
      <w:tr w:rsidR="00000294" w:rsidRPr="00000294" w:rsidTr="00000294">
        <w:trPr>
          <w:trHeight w:val="28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color w:val="000000"/>
                <w:sz w:val="20"/>
                <w:szCs w:val="20"/>
              </w:rPr>
            </w:pPr>
            <w:r w:rsidRPr="00000294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textAlignment w:val="auto"/>
              <w:rPr>
                <w:color w:val="000000"/>
                <w:sz w:val="20"/>
                <w:szCs w:val="20"/>
              </w:rPr>
            </w:pPr>
            <w:r w:rsidRPr="00000294">
              <w:rPr>
                <w:color w:val="000000"/>
                <w:sz w:val="20"/>
                <w:szCs w:val="20"/>
              </w:rPr>
              <w:t>Cheltuieli  cu combustibilul, piese de schimb si alte materiale consumabile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textAlignment w:val="auto"/>
              <w:rPr>
                <w:color w:val="000000"/>
                <w:sz w:val="20"/>
                <w:szCs w:val="20"/>
              </w:rPr>
            </w:pPr>
            <w:r w:rsidRPr="00000294">
              <w:rPr>
                <w:color w:val="000000"/>
                <w:sz w:val="20"/>
                <w:szCs w:val="20"/>
              </w:rPr>
              <w:t xml:space="preserve">                122,000.00 </w:t>
            </w:r>
          </w:p>
        </w:tc>
      </w:tr>
      <w:tr w:rsidR="00000294" w:rsidRPr="00000294" w:rsidTr="00000294">
        <w:trPr>
          <w:trHeight w:val="28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color w:val="000000"/>
                <w:sz w:val="20"/>
                <w:szCs w:val="20"/>
              </w:rPr>
            </w:pPr>
            <w:r w:rsidRPr="00000294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textAlignment w:val="auto"/>
              <w:rPr>
                <w:color w:val="000000"/>
                <w:sz w:val="20"/>
                <w:szCs w:val="20"/>
              </w:rPr>
            </w:pPr>
            <w:r w:rsidRPr="00000294">
              <w:rPr>
                <w:color w:val="000000"/>
                <w:sz w:val="20"/>
                <w:szCs w:val="20"/>
              </w:rPr>
              <w:t xml:space="preserve">Cheltuieli  cu obiectele de inventar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textAlignment w:val="auto"/>
              <w:rPr>
                <w:color w:val="000000"/>
                <w:sz w:val="20"/>
                <w:szCs w:val="20"/>
              </w:rPr>
            </w:pPr>
            <w:r w:rsidRPr="00000294">
              <w:rPr>
                <w:color w:val="000000"/>
                <w:sz w:val="20"/>
                <w:szCs w:val="20"/>
              </w:rPr>
              <w:t xml:space="preserve">                   22,000.00 </w:t>
            </w:r>
          </w:p>
        </w:tc>
      </w:tr>
      <w:tr w:rsidR="00000294" w:rsidRPr="00000294" w:rsidTr="00000294">
        <w:trPr>
          <w:trHeight w:val="28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color w:val="000000"/>
                <w:sz w:val="20"/>
                <w:szCs w:val="20"/>
              </w:rPr>
            </w:pPr>
            <w:r w:rsidRPr="00000294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textAlignment w:val="auto"/>
              <w:rPr>
                <w:color w:val="000000"/>
                <w:sz w:val="20"/>
                <w:szCs w:val="20"/>
              </w:rPr>
            </w:pPr>
            <w:r w:rsidRPr="00000294">
              <w:rPr>
                <w:color w:val="000000"/>
                <w:sz w:val="20"/>
                <w:szCs w:val="20"/>
              </w:rPr>
              <w:t xml:space="preserve">Cheltuieli cu energia si apa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textAlignment w:val="auto"/>
              <w:rPr>
                <w:color w:val="000000"/>
                <w:sz w:val="20"/>
                <w:szCs w:val="20"/>
              </w:rPr>
            </w:pPr>
            <w:r w:rsidRPr="00000294">
              <w:rPr>
                <w:color w:val="000000"/>
                <w:sz w:val="20"/>
                <w:szCs w:val="20"/>
              </w:rPr>
              <w:t xml:space="preserve">                   30,000.00 </w:t>
            </w:r>
          </w:p>
        </w:tc>
      </w:tr>
      <w:tr w:rsidR="00000294" w:rsidRPr="00000294" w:rsidTr="00000294">
        <w:trPr>
          <w:trHeight w:val="28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color w:val="000000"/>
                <w:sz w:val="20"/>
                <w:szCs w:val="20"/>
              </w:rPr>
            </w:pPr>
            <w:r w:rsidRPr="00000294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textAlignment w:val="auto"/>
              <w:rPr>
                <w:color w:val="000000"/>
                <w:sz w:val="20"/>
                <w:szCs w:val="20"/>
              </w:rPr>
            </w:pPr>
            <w:r w:rsidRPr="00000294">
              <w:rPr>
                <w:color w:val="000000"/>
                <w:sz w:val="20"/>
                <w:szCs w:val="20"/>
              </w:rPr>
              <w:t>Cheltuieli cu personalul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textAlignment w:val="auto"/>
              <w:rPr>
                <w:color w:val="000000"/>
                <w:sz w:val="20"/>
                <w:szCs w:val="20"/>
              </w:rPr>
            </w:pPr>
            <w:r w:rsidRPr="00000294">
              <w:rPr>
                <w:color w:val="000000"/>
                <w:sz w:val="20"/>
                <w:szCs w:val="20"/>
              </w:rPr>
              <w:t xml:space="preserve">             2,500,000.00 </w:t>
            </w:r>
          </w:p>
        </w:tc>
      </w:tr>
      <w:tr w:rsidR="00000294" w:rsidRPr="00000294" w:rsidTr="00000294">
        <w:trPr>
          <w:trHeight w:val="28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color w:val="000000"/>
                <w:sz w:val="20"/>
                <w:szCs w:val="20"/>
              </w:rPr>
            </w:pPr>
            <w:r w:rsidRPr="00000294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textAlignment w:val="auto"/>
              <w:rPr>
                <w:color w:val="000000"/>
                <w:sz w:val="20"/>
                <w:szCs w:val="20"/>
              </w:rPr>
            </w:pPr>
            <w:r w:rsidRPr="00000294">
              <w:rPr>
                <w:color w:val="000000"/>
                <w:sz w:val="20"/>
                <w:szCs w:val="20"/>
              </w:rPr>
              <w:t>Ajustari de valoare privind imobilizarile corporale si necorporale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textAlignment w:val="auto"/>
              <w:rPr>
                <w:color w:val="000000"/>
                <w:sz w:val="20"/>
                <w:szCs w:val="20"/>
              </w:rPr>
            </w:pPr>
            <w:r w:rsidRPr="00000294">
              <w:rPr>
                <w:color w:val="000000"/>
                <w:sz w:val="20"/>
                <w:szCs w:val="20"/>
              </w:rPr>
              <w:t xml:space="preserve">                171,425.20 </w:t>
            </w:r>
          </w:p>
        </w:tc>
      </w:tr>
      <w:tr w:rsidR="00000294" w:rsidRPr="00000294" w:rsidTr="00000294">
        <w:trPr>
          <w:trHeight w:val="28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color w:val="000000"/>
                <w:sz w:val="20"/>
                <w:szCs w:val="20"/>
              </w:rPr>
            </w:pPr>
            <w:r w:rsidRPr="00000294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textAlignment w:val="auto"/>
              <w:rPr>
                <w:color w:val="000000"/>
                <w:sz w:val="20"/>
                <w:szCs w:val="20"/>
              </w:rPr>
            </w:pPr>
            <w:r w:rsidRPr="00000294">
              <w:rPr>
                <w:color w:val="000000"/>
                <w:sz w:val="20"/>
                <w:szCs w:val="20"/>
              </w:rPr>
              <w:t xml:space="preserve">Cheltuieli cu comisioanele datorate asistentilor in brokeraj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textAlignment w:val="auto"/>
              <w:rPr>
                <w:color w:val="000000"/>
                <w:sz w:val="20"/>
                <w:szCs w:val="20"/>
              </w:rPr>
            </w:pPr>
            <w:r w:rsidRPr="00000294">
              <w:rPr>
                <w:color w:val="000000"/>
                <w:sz w:val="20"/>
                <w:szCs w:val="20"/>
              </w:rPr>
              <w:t xml:space="preserve">           48,552,000.00 </w:t>
            </w:r>
          </w:p>
        </w:tc>
      </w:tr>
      <w:tr w:rsidR="00000294" w:rsidRPr="00000294" w:rsidTr="00000294">
        <w:trPr>
          <w:trHeight w:val="28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color w:val="000000"/>
                <w:sz w:val="20"/>
                <w:szCs w:val="20"/>
              </w:rPr>
            </w:pPr>
            <w:r w:rsidRPr="00000294"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textAlignment w:val="auto"/>
              <w:rPr>
                <w:color w:val="000000"/>
                <w:sz w:val="20"/>
                <w:szCs w:val="20"/>
              </w:rPr>
            </w:pPr>
            <w:r w:rsidRPr="00000294">
              <w:rPr>
                <w:color w:val="000000"/>
                <w:sz w:val="20"/>
                <w:szCs w:val="20"/>
              </w:rPr>
              <w:t>Alte cheltuieli de exploatate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textAlignment w:val="auto"/>
              <w:rPr>
                <w:color w:val="000000"/>
                <w:sz w:val="20"/>
                <w:szCs w:val="20"/>
              </w:rPr>
            </w:pPr>
            <w:r w:rsidRPr="00000294">
              <w:rPr>
                <w:color w:val="000000"/>
                <w:sz w:val="20"/>
                <w:szCs w:val="20"/>
              </w:rPr>
              <w:t xml:space="preserve">             2,020,100.00 </w:t>
            </w:r>
          </w:p>
        </w:tc>
      </w:tr>
      <w:tr w:rsidR="00000294" w:rsidRPr="00000294" w:rsidTr="00000294">
        <w:trPr>
          <w:trHeight w:val="28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color w:val="000000"/>
                <w:sz w:val="20"/>
                <w:szCs w:val="20"/>
              </w:rPr>
            </w:pPr>
            <w:r w:rsidRPr="00000294">
              <w:rPr>
                <w:color w:val="000000"/>
                <w:sz w:val="20"/>
                <w:szCs w:val="20"/>
              </w:rPr>
              <w:t>2.8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textAlignment w:val="auto"/>
              <w:rPr>
                <w:color w:val="000000"/>
                <w:sz w:val="20"/>
                <w:szCs w:val="20"/>
              </w:rPr>
            </w:pPr>
            <w:r w:rsidRPr="00000294">
              <w:rPr>
                <w:color w:val="000000"/>
                <w:sz w:val="20"/>
                <w:szCs w:val="20"/>
              </w:rPr>
              <w:t>Cheltuieli financiare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textAlignment w:val="auto"/>
              <w:rPr>
                <w:color w:val="000000"/>
                <w:sz w:val="20"/>
                <w:szCs w:val="20"/>
              </w:rPr>
            </w:pPr>
            <w:r w:rsidRPr="00000294">
              <w:rPr>
                <w:color w:val="000000"/>
                <w:sz w:val="20"/>
                <w:szCs w:val="20"/>
              </w:rPr>
              <w:t xml:space="preserve">                     2,538.67 </w:t>
            </w:r>
          </w:p>
        </w:tc>
      </w:tr>
      <w:tr w:rsidR="00000294" w:rsidRPr="00000294" w:rsidTr="00000294">
        <w:trPr>
          <w:trHeight w:val="28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 w:rsidRPr="0000029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 w:rsidRPr="00000294">
              <w:rPr>
                <w:b/>
                <w:bCs/>
                <w:color w:val="000000"/>
                <w:sz w:val="20"/>
                <w:szCs w:val="20"/>
              </w:rPr>
              <w:t>REZULTATUL BRUT AL EXERCITIULUI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 w:rsidRPr="00000294">
              <w:rPr>
                <w:b/>
                <w:bCs/>
                <w:color w:val="000000"/>
                <w:sz w:val="20"/>
                <w:szCs w:val="20"/>
              </w:rPr>
              <w:t xml:space="preserve">             4,482,736.13 </w:t>
            </w:r>
          </w:p>
        </w:tc>
      </w:tr>
      <w:tr w:rsidR="00000294" w:rsidRPr="00000294" w:rsidTr="00000294">
        <w:trPr>
          <w:trHeight w:val="28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color w:val="000000"/>
                <w:sz w:val="20"/>
                <w:szCs w:val="20"/>
              </w:rPr>
            </w:pPr>
            <w:r w:rsidRPr="0000029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textAlignment w:val="auto"/>
              <w:rPr>
                <w:color w:val="000000"/>
                <w:sz w:val="20"/>
                <w:szCs w:val="20"/>
              </w:rPr>
            </w:pPr>
            <w:r w:rsidRPr="00000294">
              <w:rPr>
                <w:color w:val="000000"/>
                <w:sz w:val="20"/>
                <w:szCs w:val="20"/>
              </w:rPr>
              <w:t>Impozit pe profit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textAlignment w:val="auto"/>
              <w:rPr>
                <w:color w:val="000000"/>
                <w:sz w:val="20"/>
                <w:szCs w:val="20"/>
              </w:rPr>
            </w:pPr>
            <w:r w:rsidRPr="00000294">
              <w:rPr>
                <w:color w:val="000000"/>
                <w:sz w:val="20"/>
                <w:szCs w:val="20"/>
              </w:rPr>
              <w:t xml:space="preserve">                681,798.00 </w:t>
            </w:r>
          </w:p>
        </w:tc>
      </w:tr>
      <w:tr w:rsidR="00000294" w:rsidRPr="00000294" w:rsidTr="00000294">
        <w:trPr>
          <w:trHeight w:val="28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 w:rsidRPr="0000029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 w:rsidRPr="00000294">
              <w:rPr>
                <w:b/>
                <w:bCs/>
                <w:color w:val="000000"/>
                <w:sz w:val="20"/>
                <w:szCs w:val="20"/>
              </w:rPr>
              <w:t>REZULTATUL NET AL EXERCITIULUI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00294" w:rsidRPr="00000294" w:rsidRDefault="00000294" w:rsidP="00000294">
            <w:pPr>
              <w:suppressAutoHyphens w:val="0"/>
              <w:autoSpaceDN/>
              <w:spacing w:after="0" w:line="240" w:lineRule="auto"/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 w:rsidRPr="00000294">
              <w:rPr>
                <w:b/>
                <w:bCs/>
                <w:color w:val="000000"/>
                <w:sz w:val="20"/>
                <w:szCs w:val="20"/>
              </w:rPr>
              <w:t xml:space="preserve">             3,800,938.13 </w:t>
            </w:r>
          </w:p>
        </w:tc>
      </w:tr>
    </w:tbl>
    <w:p w:rsidR="00000294" w:rsidRDefault="00000294" w:rsidP="0058685B">
      <w:pPr>
        <w:rPr>
          <w:rFonts w:ascii="Tahoma" w:hAnsi="Tahoma" w:cs="Tahoma"/>
        </w:rPr>
      </w:pPr>
    </w:p>
    <w:p w:rsidR="00000294" w:rsidRDefault="00000294" w:rsidP="0058685B">
      <w:pPr>
        <w:rPr>
          <w:rFonts w:ascii="Tahoma" w:hAnsi="Tahoma" w:cs="Tahoma"/>
        </w:rPr>
      </w:pPr>
    </w:p>
    <w:p w:rsidR="00000294" w:rsidRDefault="00000294" w:rsidP="0058685B">
      <w:pPr>
        <w:rPr>
          <w:rFonts w:ascii="Tahoma" w:hAnsi="Tahoma" w:cs="Tahoma"/>
        </w:rPr>
      </w:pPr>
    </w:p>
    <w:p w:rsidR="00000294" w:rsidRDefault="00000294" w:rsidP="0058685B">
      <w:pPr>
        <w:rPr>
          <w:rFonts w:ascii="Tahoma" w:hAnsi="Tahoma" w:cs="Tahoma"/>
        </w:rPr>
      </w:pPr>
    </w:p>
    <w:p w:rsidR="00000294" w:rsidRDefault="00000294" w:rsidP="0058685B">
      <w:pPr>
        <w:rPr>
          <w:rFonts w:ascii="Tahoma" w:hAnsi="Tahoma" w:cs="Tahoma"/>
        </w:rPr>
      </w:pPr>
    </w:p>
    <w:p w:rsidR="00000294" w:rsidRDefault="00000294" w:rsidP="0058685B">
      <w:pPr>
        <w:rPr>
          <w:rFonts w:ascii="Tahoma" w:hAnsi="Tahoma" w:cs="Tahoma"/>
        </w:rPr>
      </w:pPr>
    </w:p>
    <w:p w:rsidR="00000294" w:rsidRDefault="00000294" w:rsidP="0058685B">
      <w:pPr>
        <w:rPr>
          <w:rFonts w:ascii="Tahoma" w:hAnsi="Tahoma" w:cs="Tahoma"/>
        </w:rPr>
      </w:pPr>
    </w:p>
    <w:p w:rsidR="00000294" w:rsidRDefault="00000294" w:rsidP="0058685B">
      <w:pPr>
        <w:rPr>
          <w:rFonts w:ascii="Tahoma" w:hAnsi="Tahoma" w:cs="Tahoma"/>
        </w:rPr>
      </w:pPr>
    </w:p>
    <w:p w:rsidR="00D773DD" w:rsidRPr="00D13F9A" w:rsidRDefault="00D773DD" w:rsidP="00D13F9A">
      <w:pPr>
        <w:rPr>
          <w:rFonts w:ascii="Tahoma" w:hAnsi="Tahoma" w:cs="Tahoma"/>
        </w:rPr>
      </w:pPr>
    </w:p>
    <w:sectPr w:rsidR="00D773DD" w:rsidRPr="00D13F9A">
      <w:headerReference w:type="default" r:id="rId8"/>
      <w:footerReference w:type="default" r:id="rId9"/>
      <w:pgSz w:w="11907" w:h="16839"/>
      <w:pgMar w:top="1584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3EF" w:rsidRDefault="00B933EF">
      <w:pPr>
        <w:spacing w:after="0" w:line="240" w:lineRule="auto"/>
      </w:pPr>
      <w:r>
        <w:separator/>
      </w:r>
    </w:p>
  </w:endnote>
  <w:endnote w:type="continuationSeparator" w:id="0">
    <w:p w:rsidR="00B933EF" w:rsidRDefault="00B93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busr-OpenSans-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B80" w:rsidRDefault="006B0043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-452783</wp:posOffset>
          </wp:positionH>
          <wp:positionV relativeFrom="paragraph">
            <wp:posOffset>-269693</wp:posOffset>
          </wp:positionV>
          <wp:extent cx="7552047" cy="898324"/>
          <wp:effectExtent l="0" t="0" r="0" b="0"/>
          <wp:wrapNone/>
          <wp:docPr id="2" name="Picture 1" descr="Header &amp; Footer - TBK-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047" cy="89832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3EF" w:rsidRDefault="00B933E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933EF" w:rsidRDefault="00B93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B80" w:rsidRDefault="006B004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-452783</wp:posOffset>
          </wp:positionH>
          <wp:positionV relativeFrom="margin">
            <wp:posOffset>-1005840</wp:posOffset>
          </wp:positionV>
          <wp:extent cx="7552047" cy="1007952"/>
          <wp:effectExtent l="0" t="0" r="0" b="1698"/>
          <wp:wrapNone/>
          <wp:docPr id="1" name="Picture 0" descr="Header &amp; Footer - TBK-0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047" cy="100795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4637"/>
    <w:multiLevelType w:val="multilevel"/>
    <w:tmpl w:val="F8F0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0780E"/>
    <w:multiLevelType w:val="multilevel"/>
    <w:tmpl w:val="081C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037BD"/>
    <w:multiLevelType w:val="multilevel"/>
    <w:tmpl w:val="331E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72278"/>
    <w:multiLevelType w:val="multilevel"/>
    <w:tmpl w:val="FABC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E604B9"/>
    <w:multiLevelType w:val="multilevel"/>
    <w:tmpl w:val="D286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D60AB"/>
    <w:multiLevelType w:val="multilevel"/>
    <w:tmpl w:val="7D48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4247D1"/>
    <w:multiLevelType w:val="multilevel"/>
    <w:tmpl w:val="BA1AFA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94B54"/>
    <w:multiLevelType w:val="multilevel"/>
    <w:tmpl w:val="2F58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C64C65"/>
    <w:multiLevelType w:val="multilevel"/>
    <w:tmpl w:val="B56C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busr-OpenSans-Light" w:eastAsia="Times New Roman" w:hAnsi="cbusr-OpenSans-Light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497FA2"/>
    <w:multiLevelType w:val="multilevel"/>
    <w:tmpl w:val="5AD04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694B94"/>
    <w:multiLevelType w:val="multilevel"/>
    <w:tmpl w:val="4164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4337D6"/>
    <w:multiLevelType w:val="multilevel"/>
    <w:tmpl w:val="55BC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busr-OpenSans-Light" w:eastAsia="Times New Roman" w:hAnsi="cbusr-OpenSans-Light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AE3326"/>
    <w:multiLevelType w:val="hybridMultilevel"/>
    <w:tmpl w:val="FB881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77A45"/>
    <w:multiLevelType w:val="multilevel"/>
    <w:tmpl w:val="E098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EE4025"/>
    <w:multiLevelType w:val="hybridMultilevel"/>
    <w:tmpl w:val="E6029DAE"/>
    <w:lvl w:ilvl="0" w:tplc="086EDF3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FC6AED"/>
    <w:multiLevelType w:val="multilevel"/>
    <w:tmpl w:val="B12C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FA76AD"/>
    <w:multiLevelType w:val="multilevel"/>
    <w:tmpl w:val="1368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1569E7"/>
    <w:multiLevelType w:val="hybridMultilevel"/>
    <w:tmpl w:val="8ECCA07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5F505D3C"/>
    <w:multiLevelType w:val="multilevel"/>
    <w:tmpl w:val="2126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826A29"/>
    <w:multiLevelType w:val="hybridMultilevel"/>
    <w:tmpl w:val="37644832"/>
    <w:lvl w:ilvl="0" w:tplc="4A307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085B20"/>
    <w:multiLevelType w:val="multilevel"/>
    <w:tmpl w:val="225A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97B6F"/>
    <w:multiLevelType w:val="multilevel"/>
    <w:tmpl w:val="3F88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972E09"/>
    <w:multiLevelType w:val="multilevel"/>
    <w:tmpl w:val="7C4A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D77DD6"/>
    <w:multiLevelType w:val="multilevel"/>
    <w:tmpl w:val="7958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07921"/>
    <w:multiLevelType w:val="multilevel"/>
    <w:tmpl w:val="858E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7"/>
  </w:num>
  <w:num w:numId="6">
    <w:abstractNumId w:val="10"/>
  </w:num>
  <w:num w:numId="7">
    <w:abstractNumId w:val="16"/>
  </w:num>
  <w:num w:numId="8">
    <w:abstractNumId w:val="13"/>
  </w:num>
  <w:num w:numId="9">
    <w:abstractNumId w:val="18"/>
  </w:num>
  <w:num w:numId="10">
    <w:abstractNumId w:val="1"/>
  </w:num>
  <w:num w:numId="11">
    <w:abstractNumId w:val="8"/>
  </w:num>
  <w:num w:numId="12">
    <w:abstractNumId w:val="24"/>
  </w:num>
  <w:num w:numId="13">
    <w:abstractNumId w:val="20"/>
  </w:num>
  <w:num w:numId="14">
    <w:abstractNumId w:val="4"/>
  </w:num>
  <w:num w:numId="15">
    <w:abstractNumId w:val="0"/>
  </w:num>
  <w:num w:numId="16">
    <w:abstractNumId w:val="3"/>
  </w:num>
  <w:num w:numId="17">
    <w:abstractNumId w:val="15"/>
  </w:num>
  <w:num w:numId="18">
    <w:abstractNumId w:val="23"/>
  </w:num>
  <w:num w:numId="19">
    <w:abstractNumId w:val="5"/>
  </w:num>
  <w:num w:numId="20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7"/>
  </w:num>
  <w:num w:numId="22">
    <w:abstractNumId w:val="12"/>
  </w:num>
  <w:num w:numId="23">
    <w:abstractNumId w:val="14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C3"/>
    <w:rsid w:val="00000294"/>
    <w:rsid w:val="00031DA4"/>
    <w:rsid w:val="0013456F"/>
    <w:rsid w:val="00220AD5"/>
    <w:rsid w:val="00236EB3"/>
    <w:rsid w:val="00251DFC"/>
    <w:rsid w:val="003119AF"/>
    <w:rsid w:val="00312AE2"/>
    <w:rsid w:val="003711DF"/>
    <w:rsid w:val="00377983"/>
    <w:rsid w:val="003935C2"/>
    <w:rsid w:val="0040512F"/>
    <w:rsid w:val="0044404A"/>
    <w:rsid w:val="00455644"/>
    <w:rsid w:val="0046515A"/>
    <w:rsid w:val="00467812"/>
    <w:rsid w:val="00473841"/>
    <w:rsid w:val="00503B5B"/>
    <w:rsid w:val="0053170E"/>
    <w:rsid w:val="0058685B"/>
    <w:rsid w:val="006064CD"/>
    <w:rsid w:val="00610DED"/>
    <w:rsid w:val="00621AE6"/>
    <w:rsid w:val="0062791D"/>
    <w:rsid w:val="006440EA"/>
    <w:rsid w:val="006B0043"/>
    <w:rsid w:val="007D1D06"/>
    <w:rsid w:val="007E7F21"/>
    <w:rsid w:val="0089187D"/>
    <w:rsid w:val="008A71D6"/>
    <w:rsid w:val="008C22C3"/>
    <w:rsid w:val="00A750CC"/>
    <w:rsid w:val="00AA2D81"/>
    <w:rsid w:val="00AB702C"/>
    <w:rsid w:val="00AC6DCF"/>
    <w:rsid w:val="00B85421"/>
    <w:rsid w:val="00B933EF"/>
    <w:rsid w:val="00BD2FDF"/>
    <w:rsid w:val="00BD462F"/>
    <w:rsid w:val="00CD47C0"/>
    <w:rsid w:val="00CF6168"/>
    <w:rsid w:val="00D13F9A"/>
    <w:rsid w:val="00D773DD"/>
    <w:rsid w:val="00DB19B2"/>
    <w:rsid w:val="00DB1B30"/>
    <w:rsid w:val="00DB436D"/>
    <w:rsid w:val="00DF3AB4"/>
    <w:rsid w:val="00E0511B"/>
    <w:rsid w:val="00E310D3"/>
    <w:rsid w:val="00E569FD"/>
    <w:rsid w:val="00F17487"/>
    <w:rsid w:val="00FB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15034B-BB15-47A1-8BA1-3B9A22C0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spacing w:before="480" w:after="0"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pPr>
      <w:spacing w:before="200" w:after="0" w:line="268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pPr>
      <w:spacing w:after="0" w:line="268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rPr>
      <w:rFonts w:ascii="Cambria" w:eastAsia="Times New Roman" w:hAnsi="Cambria" w:cs="Times New Roman"/>
      <w:b/>
      <w:bCs/>
      <w:sz w:val="28"/>
      <w:szCs w:val="28"/>
    </w:rPr>
  </w:style>
  <w:style w:type="paragraph" w:styleId="Subtitle">
    <w:name w:val="Subtitle"/>
    <w:basedOn w:val="Normal"/>
    <w:next w:val="Normal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Heading2Char">
    <w:name w:val="Heading 2 Char"/>
    <w:basedOn w:val="DefaultParagraphFont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rPr>
      <w:rFonts w:ascii="Cambria" w:eastAsia="Times New Roman" w:hAnsi="Cambria" w:cs="Times New Roman"/>
      <w:b/>
      <w:bCs/>
      <w:color w:val="7F7F7F"/>
    </w:rPr>
  </w:style>
  <w:style w:type="paragraph" w:styleId="Title">
    <w:name w:val="Title"/>
    <w:basedOn w:val="Normal"/>
    <w:next w:val="Normal"/>
    <w:pPr>
      <w:pBdr>
        <w:bottom w:val="single" w:sz="4" w:space="1" w:color="000000"/>
      </w:pBdr>
      <w:spacing w:line="240" w:lineRule="auto"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Heading6Char">
    <w:name w:val="Heading 6 Char"/>
    <w:basedOn w:val="DefaultParagraphFont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rPr>
      <w:b/>
      <w:bCs/>
      <w:smallCaps/>
      <w:color w:val="1F497D"/>
      <w:spacing w:val="10"/>
      <w:sz w:val="18"/>
      <w:szCs w:val="18"/>
    </w:rPr>
  </w:style>
  <w:style w:type="character" w:styleId="Strong">
    <w:name w:val="Strong"/>
    <w:rPr>
      <w:b/>
      <w:bCs/>
    </w:rPr>
  </w:style>
  <w:style w:type="character" w:styleId="Emphasis">
    <w:name w:val="Emphasis"/>
    <w:rPr>
      <w:b/>
      <w:bCs/>
      <w:i/>
      <w:iCs/>
      <w:spacing w:val="10"/>
      <w:shd w:val="clear" w:color="auto" w:fill="auto"/>
    </w:rPr>
  </w:style>
  <w:style w:type="paragraph" w:styleId="NoSpacing">
    <w:name w:val="No Spacing"/>
    <w:basedOn w:val="Normal"/>
    <w:pPr>
      <w:spacing w:after="0" w:line="240" w:lineRule="auto"/>
    </w:pPr>
  </w:style>
  <w:style w:type="paragraph" w:styleId="ListParagraph">
    <w:name w:val="List Paragraph"/>
    <w:basedOn w:val="Normal"/>
    <w:qFormat/>
    <w:pPr>
      <w:ind w:left="720"/>
    </w:pPr>
  </w:style>
  <w:style w:type="paragraph" w:styleId="Quote">
    <w:name w:val="Quote"/>
    <w:basedOn w:val="Normal"/>
    <w:next w:val="Normal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rPr>
      <w:i/>
      <w:iCs/>
    </w:rPr>
  </w:style>
  <w:style w:type="paragraph" w:styleId="IntenseQuote">
    <w:name w:val="Intense Quote"/>
    <w:basedOn w:val="Normal"/>
    <w:next w:val="Normal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rPr>
      <w:b/>
      <w:bCs/>
      <w:i/>
      <w:iCs/>
    </w:rPr>
  </w:style>
  <w:style w:type="character" w:styleId="SubtleEmphasis">
    <w:name w:val="Subtle Emphasis"/>
    <w:rPr>
      <w:i/>
      <w:iCs/>
    </w:rPr>
  </w:style>
  <w:style w:type="character" w:styleId="IntenseEmphasis">
    <w:name w:val="Intense Emphasis"/>
    <w:rPr>
      <w:b/>
      <w:bCs/>
    </w:rPr>
  </w:style>
  <w:style w:type="character" w:styleId="SubtleReference">
    <w:name w:val="Subtle Reference"/>
    <w:rPr>
      <w:smallCaps/>
    </w:rPr>
  </w:style>
  <w:style w:type="character" w:styleId="IntenseReference">
    <w:name w:val="Intense Reference"/>
    <w:rPr>
      <w:smallCaps/>
      <w:spacing w:val="5"/>
      <w:u w:val="single"/>
    </w:rPr>
  </w:style>
  <w:style w:type="character" w:styleId="BookTitle">
    <w:name w:val="Book Title"/>
    <w:rPr>
      <w:i/>
      <w:iCs/>
      <w:smallCaps/>
      <w:spacing w:val="5"/>
    </w:rPr>
  </w:style>
  <w:style w:type="paragraph" w:styleId="TOCHeading">
    <w:name w:val="TOC Heading"/>
    <w:basedOn w:val="Heading1"/>
    <w:next w:val="Normal"/>
  </w:style>
  <w:style w:type="character" w:customStyle="1" w:styleId="NoSpacingChar">
    <w:name w:val="No Spacing Char"/>
    <w:basedOn w:val="DefaultParagraphFont"/>
  </w:style>
  <w:style w:type="paragraph" w:styleId="NormalWeb">
    <w:name w:val="Normal (Web)"/>
    <w:basedOn w:val="Normal"/>
    <w:uiPriority w:val="99"/>
    <w:semiHidden/>
    <w:unhideWhenUsed/>
    <w:rsid w:val="00A750C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174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%20login\Desktop\Transilvania%20Brok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E150E-0B45-4E11-8416-41CF2E9A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Transilvania Broker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Transilvania Broker</vt:lpstr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Transilvania Broker</dc:title>
  <dc:creator>Windows User</dc:creator>
  <cp:keywords>Stationery</cp:keywords>
  <cp:lastModifiedBy>User</cp:lastModifiedBy>
  <cp:revision>2</cp:revision>
  <cp:lastPrinted>2017-06-07T11:59:00Z</cp:lastPrinted>
  <dcterms:created xsi:type="dcterms:W3CDTF">2018-03-29T09:17:00Z</dcterms:created>
  <dcterms:modified xsi:type="dcterms:W3CDTF">2018-03-29T09:17:00Z</dcterms:modified>
</cp:coreProperties>
</file>