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116D" w14:textId="77777777" w:rsidR="00BD0A65" w:rsidRPr="00BD0A65" w:rsidRDefault="00BD0A65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noProof/>
          <w:sz w:val="20"/>
          <w:szCs w:val="20"/>
          <w:lang w:val="en-GB" w:eastAsia="ro-RO"/>
        </w:rPr>
        <w:drawing>
          <wp:inline distT="0" distB="0" distL="0" distR="0" wp14:anchorId="712404A3" wp14:editId="0DD2E4DE">
            <wp:extent cx="1302105" cy="475488"/>
            <wp:effectExtent l="0" t="0" r="0" b="1270"/>
            <wp:docPr id="1" name="img1" descr="http://www.htmlpublish.com/newTestDocStorage/DocStorage/d29c94bbdc674e3e916342e5fa268059/CV-Europass-20160927-Denes-RO%20%285%29_images/CV-Europass-20160927-Denes-RO%20%285%29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d29c94bbdc674e3e916342e5fa268059/CV-Europass-20160927-Denes-RO%20%285%29_images/CV-Europass-20160927-Denes-RO%20%285%291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11" b="68800"/>
                    <a:stretch/>
                  </pic:blipFill>
                  <pic:spPr bwMode="auto">
                    <a:xfrm>
                      <a:off x="0" y="0"/>
                      <a:ext cx="1329700" cy="4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969A0" w14:textId="77777777" w:rsidR="00BD0A65" w:rsidRPr="00BD0A65" w:rsidRDefault="00BD0A65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Curriculum vitae</w:t>
      </w:r>
    </w:p>
    <w:p w14:paraId="6925EF99" w14:textId="23ED2225" w:rsidR="00BD0A65" w:rsidRPr="00BD0A65" w:rsidRDefault="00BD0A65" w:rsidP="00BD0A65">
      <w:pPr>
        <w:spacing w:before="69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PERSONAL INFORMATION </w:t>
      </w:r>
    </w:p>
    <w:p w14:paraId="6F659D91" w14:textId="77777777" w:rsidR="00BD0A65" w:rsidRPr="00BD0A65" w:rsidRDefault="00BD0A65" w:rsidP="00BD0A65">
      <w:pPr>
        <w:spacing w:before="690"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TASIA - DANIELA DENES</w:t>
      </w:r>
    </w:p>
    <w:p w14:paraId="285AAD7A" w14:textId="63AEB6EB" w:rsidR="00BD0A65" w:rsidRPr="00BD0A65" w:rsidRDefault="00BD0A65" w:rsidP="00BD0A65">
      <w:pPr>
        <w:spacing w:before="690"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Date of birth 1974</w:t>
      </w:r>
    </w:p>
    <w:p w14:paraId="39BDE714" w14:textId="40AC4218" w:rsidR="00BD0A65" w:rsidRPr="00BD0A65" w:rsidRDefault="00BD0A65" w:rsidP="00BD0A65">
      <w:pPr>
        <w:spacing w:before="225" w:after="0" w:line="240" w:lineRule="auto"/>
        <w:ind w:hanging="30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Targu-Mures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,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jud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Mures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</w:p>
    <w:p w14:paraId="4556C83A" w14:textId="77777777" w:rsidR="00BD0A65" w:rsidRPr="00BD0A65" w:rsidRDefault="00BD0A65" w:rsidP="00BD0A65">
      <w:pPr>
        <w:spacing w:before="34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tasia.denes@denconsult.ro</w:t>
      </w:r>
    </w:p>
    <w:p w14:paraId="2D4C2A5E" w14:textId="55764476" w:rsidR="00BD0A65" w:rsidRPr="00BD0A65" w:rsidRDefault="00BD0A65" w:rsidP="00BD0A65">
      <w:pPr>
        <w:spacing w:before="21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PROFESSIONAL EXPERIENCE </w:t>
      </w:r>
    </w:p>
    <w:p w14:paraId="5E02350F" w14:textId="77777777" w:rsidR="00BD0A65" w:rsidRPr="00BD0A65" w:rsidRDefault="00BD0A65" w:rsidP="00BD0A65">
      <w:pPr>
        <w:spacing w:before="21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p w14:paraId="15BA6348" w14:textId="0E44C9BE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val="en-GB" w:eastAsia="ro-RO"/>
        </w:rPr>
        <w:t>June</w:t>
      </w:r>
      <w:r w:rsidRPr="00BD0A65">
        <w:rPr>
          <w:rFonts w:ascii="Times New Roman" w:eastAsia="Times New Roman" w:hAnsi="Times New Roman" w:cs="Times New Roman"/>
          <w:color w:val="0070C0"/>
          <w:sz w:val="20"/>
          <w:szCs w:val="20"/>
          <w:lang w:val="en-GB" w:eastAsia="ro-RO"/>
        </w:rPr>
        <w:t xml:space="preserve"> 2017-Pre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val="en-GB" w:eastAsia="ro-RO"/>
        </w:rPr>
        <w:t>sent</w:t>
      </w:r>
      <w:r w:rsidRPr="00BD0A65">
        <w:rPr>
          <w:rFonts w:ascii="Times New Roman" w:eastAsia="Times New Roman" w:hAnsi="Times New Roman" w:cs="Times New Roman"/>
          <w:color w:val="0070C0"/>
          <w:sz w:val="20"/>
          <w:szCs w:val="20"/>
          <w:lang w:val="en-GB" w:eastAsia="ro-RO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AC Member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/ 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President of Audit Committee 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</w:p>
    <w:p w14:paraId="2A7F8B0A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                                    Soc. TRANSILVANIA BROKER DE ASIGURARE S.A.</w:t>
      </w:r>
    </w:p>
    <w:p w14:paraId="7A05B5DA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                                   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Bistrita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, str.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Zorilor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nr.5</w:t>
      </w:r>
    </w:p>
    <w:p w14:paraId="481E6761" w14:textId="7EB1AE66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ro-RO"/>
        </w:rPr>
        <w:t xml:space="preserve">Type of activity      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Insurance Intermediation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</w:p>
    <w:p w14:paraId="5170BF64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p w14:paraId="6D6B4048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</w:pPr>
    </w:p>
    <w:p w14:paraId="468E0C02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</w:pPr>
    </w:p>
    <w:p w14:paraId="526F7A53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</w:pPr>
    </w:p>
    <w:p w14:paraId="19B49493" w14:textId="744591F8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>2013–Pre</w:t>
      </w:r>
      <w:r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>sent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  <w:r w:rsidR="008F3F29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Tax and Legal Expert</w:t>
      </w:r>
    </w:p>
    <w:p w14:paraId="3FB49DC0" w14:textId="6562983A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 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  <w:r w:rsidR="008F3F29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Fiscal Consultant Office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, </w:t>
      </w:r>
      <w:proofErr w:type="spellStart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Tg</w:t>
      </w:r>
      <w:proofErr w:type="spellEnd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. </w:t>
      </w:r>
      <w:proofErr w:type="spellStart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Mures</w:t>
      </w:r>
      <w:proofErr w:type="spellEnd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(Rom</w:t>
      </w:r>
      <w:r w:rsidR="008F3F29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a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nia)</w:t>
      </w:r>
    </w:p>
    <w:p w14:paraId="0F149A22" w14:textId="78C11330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 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  <w:r w:rsidR="008F3F29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Carrying out of fiscal legal expertise</w:t>
      </w:r>
      <w:r w:rsidR="001F779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when solicited by judicial bodies, criminal investigation bodies, fiscal bodies and other interested parties.</w:t>
      </w:r>
    </w:p>
    <w:p w14:paraId="2469B37D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0617918A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5137076A" w14:textId="0858E82F" w:rsidR="00BD0A65" w:rsidRPr="00BD0A65" w:rsidRDefault="00BD0A65" w:rsidP="00BD0A65">
      <w:pPr>
        <w:spacing w:before="37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>2009–Pre</w:t>
      </w:r>
      <w:r w:rsidR="001F779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>sent</w:t>
      </w: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 xml:space="preserve"> </w:t>
      </w:r>
      <w:r w:rsidR="001F779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Economic Director/Unique Associate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</w:p>
    <w:p w14:paraId="472454C2" w14:textId="675B2357" w:rsidR="00BD0A65" w:rsidRPr="00BD0A65" w:rsidRDefault="00BD0A65" w:rsidP="00BD0A65">
      <w:pPr>
        <w:spacing w:before="15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Denconsult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SRL </w:t>
      </w:r>
      <w:r w:rsidR="001F779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–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r w:rsidR="001F779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accounting expertise company, fiscal consultancy and financial audit, </w:t>
      </w:r>
      <w:proofErr w:type="spellStart"/>
      <w:r w:rsidR="001F779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Corunca</w:t>
      </w:r>
      <w:proofErr w:type="spellEnd"/>
    </w:p>
    <w:p w14:paraId="65F46935" w14:textId="27177C7A" w:rsidR="00BD0A65" w:rsidRDefault="00BD0A65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</w:t>
      </w:r>
      <w:r w:rsidR="001F779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Financial</w:t>
      </w:r>
      <w:r w:rsidR="00DE5614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</w:t>
      </w:r>
      <w:r w:rsidR="00C755D4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– accounting services and consultancy that DENCONSULT SRL provides organisation, management and supervision</w:t>
      </w:r>
      <w:r w:rsidR="00DE5614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</w:t>
      </w:r>
      <w:r w:rsidR="00C755D4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of economic-financial and accounting activity, based on a provision of services contract such as:</w:t>
      </w:r>
    </w:p>
    <w:p w14:paraId="4B0F1F79" w14:textId="283F4373" w:rsidR="00C755D4" w:rsidRDefault="00C755D4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organisation and management of the economic-financial and accounting activity according to the regulation set out by the Accounting Law, by the application Regulation and by the norms attributed to the position of accounting expert</w:t>
      </w:r>
      <w:r w:rsidR="001B6440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;</w:t>
      </w:r>
    </w:p>
    <w:p w14:paraId="4B067F97" w14:textId="1E0B60A1" w:rsidR="00C755D4" w:rsidRDefault="00C755D4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development of periodical synthesis papers (</w:t>
      </w:r>
      <w:r w:rsidR="001B6440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half-yearly</w:t>
      </w: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and </w:t>
      </w:r>
      <w:r w:rsidR="001B6440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annually), the creation of various financial reports as solicited by banks or other similar economic entities;</w:t>
      </w:r>
    </w:p>
    <w:p w14:paraId="3586CFC3" w14:textId="13DF33A8" w:rsidR="001B6440" w:rsidRDefault="001B6440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- assistance towards developing the procedures necessary for the organisation and management of </w:t>
      </w:r>
      <w:r w:rsidR="00500C3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fixed assets, stocks and funds, the establishment of the supporting documents circuit, based on circulation schemes and graphs, in accord with the client’s activity;</w:t>
      </w:r>
    </w:p>
    <w:p w14:paraId="4815C88F" w14:textId="218AA6B1" w:rsidR="00500C35" w:rsidRDefault="00500C35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control of patrimonial operations carried out, of the used processing procedures and of the accuracy of generated accounting data;</w:t>
      </w:r>
    </w:p>
    <w:p w14:paraId="5A8D1AA5" w14:textId="74F3C3FE" w:rsidR="00500C35" w:rsidRDefault="00500C35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specialty assistance for payroll and human resources;</w:t>
      </w:r>
    </w:p>
    <w:p w14:paraId="46B2D8DD" w14:textId="12C9E221" w:rsidR="00500C35" w:rsidRDefault="00500C35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specialty consultancy in regards to the financial-accounting and fiscal law (corporate tax, income tax, VAT, excise duties, social insurance);</w:t>
      </w:r>
    </w:p>
    <w:p w14:paraId="65F4CE86" w14:textId="1ED501B8" w:rsidR="00500C35" w:rsidRDefault="00500C35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development of fiscal declaration</w:t>
      </w:r>
      <w:r w:rsidR="006D6D5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s</w:t>
      </w: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regarding corporate tax, VAT, </w:t>
      </w:r>
      <w:r w:rsidR="006D6D5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salary tax, contributions to social insurance, as well as other taxes and contributions to the state budget, social insurance and special funds;</w:t>
      </w:r>
    </w:p>
    <w:p w14:paraId="6CAFA1AB" w14:textId="336935D1" w:rsidR="006D6D53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lastRenderedPageBreak/>
        <w:t xml:space="preserve">- the representation of clients in the relations with the fiscal </w:t>
      </w:r>
      <w:proofErr w:type="spellStart"/>
      <w:r w:rsidR="0081289B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body</w:t>
      </w: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s</w:t>
      </w:r>
      <w:proofErr w:type="spellEnd"/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of the state and other entities;</w:t>
      </w:r>
    </w:p>
    <w:p w14:paraId="247B5522" w14:textId="6A787A4A" w:rsidR="006D6D53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assistance of taxpayers during tax inspections;</w:t>
      </w:r>
    </w:p>
    <w:p w14:paraId="659698FD" w14:textId="2C26B7B8" w:rsidR="006D6D53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carrying out economic-financial analyses and property evaluations;</w:t>
      </w:r>
    </w:p>
    <w:p w14:paraId="6462E1FC" w14:textId="1E3BBCF3" w:rsidR="006D6D53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analysis of financial fluxes and the cashflow situation;</w:t>
      </w:r>
    </w:p>
    <w:p w14:paraId="4CC7D40B" w14:textId="77777777" w:rsidR="006D6D53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the analysis of debt and claims situation;</w:t>
      </w:r>
    </w:p>
    <w:p w14:paraId="39CFA684" w14:textId="77777777" w:rsidR="006D6D53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- the analysis of capital and fixed assets; </w:t>
      </w:r>
    </w:p>
    <w:p w14:paraId="74CC6AF3" w14:textId="137B31E9" w:rsidR="006D6D53" w:rsidRPr="00BD0A65" w:rsidRDefault="006D6D53" w:rsidP="001F77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- the establishment of income and expenses budgets. </w:t>
      </w:r>
    </w:p>
    <w:p w14:paraId="194B6EC5" w14:textId="064B0233" w:rsidR="00BD0A65" w:rsidRPr="00BD0A65" w:rsidRDefault="00BD0A65" w:rsidP="00BD0A65">
      <w:pPr>
        <w:spacing w:before="31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 xml:space="preserve">02/2007–2009 </w:t>
      </w:r>
      <w:r w:rsidR="00500C3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Economic Director</w:t>
      </w:r>
    </w:p>
    <w:p w14:paraId="5D3EDFAC" w14:textId="123F478C" w:rsidR="00BD0A65" w:rsidRDefault="00BD0A65" w:rsidP="00B82CD7">
      <w:pPr>
        <w:spacing w:before="1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Adexpertus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SRL </w:t>
      </w:r>
      <w:r w:rsidR="00B82CD7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– accounting expertise, fiscal consultancy and financial audit, </w:t>
      </w:r>
      <w:proofErr w:type="spellStart"/>
      <w:r w:rsidR="00B82CD7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Tg</w:t>
      </w:r>
      <w:proofErr w:type="spellEnd"/>
      <w:r w:rsidR="00B82CD7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="00B82CD7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Mures</w:t>
      </w:r>
      <w:proofErr w:type="spellEnd"/>
      <w:r w:rsidR="00B82CD7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(Romania)</w:t>
      </w:r>
    </w:p>
    <w:p w14:paraId="20A871FF" w14:textId="6BF78906" w:rsidR="00B82CD7" w:rsidRPr="00B82CD7" w:rsidRDefault="00B82CD7" w:rsidP="00B82CD7">
      <w:pPr>
        <w:pStyle w:val="ListParagraph"/>
        <w:numPr>
          <w:ilvl w:val="0"/>
          <w:numId w:val="1"/>
        </w:numPr>
        <w:spacing w:before="1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Financial-accounting works</w:t>
      </w:r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and consultancy services provided by the company toward accomplishing the organising, managing and supervising missions of the economic-financial and accounting activities, based on a provision of services contract signed in accord with the CECCAR norms. </w:t>
      </w:r>
    </w:p>
    <w:p w14:paraId="5017C44B" w14:textId="7E5DEA75" w:rsidR="00BD0A65" w:rsidRPr="00BD0A65" w:rsidRDefault="00BD0A65" w:rsidP="00BD0A65">
      <w:pPr>
        <w:spacing w:before="31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 xml:space="preserve">10/2003–02/2007 </w:t>
      </w:r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Economic Director</w:t>
      </w:r>
    </w:p>
    <w:p w14:paraId="3AD23FEC" w14:textId="0915BE38" w:rsidR="00C859A4" w:rsidRDefault="00BD0A65" w:rsidP="00C85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All Star Prod SRL </w:t>
      </w:r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(member of the MBO group), </w:t>
      </w:r>
      <w:proofErr w:type="spellStart"/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Tg</w:t>
      </w:r>
      <w:proofErr w:type="spellEnd"/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Mures</w:t>
      </w:r>
      <w:proofErr w:type="spellEnd"/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(Romania)</w:t>
      </w:r>
    </w:p>
    <w:p w14:paraId="222F29BC" w14:textId="71085B7B" w:rsid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organisation and management of the accounting department;</w:t>
      </w:r>
    </w:p>
    <w:p w14:paraId="68AA6874" w14:textId="115CB8B8" w:rsid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supervision of financial-accounting works to monitor the correct application of legal financial-accounting norms from an accounting perspective of the activities carried out;</w:t>
      </w:r>
    </w:p>
    <w:p w14:paraId="2D2712DB" w14:textId="64E8C1A7" w:rsid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Carrying out the preventive financial control;</w:t>
      </w:r>
    </w:p>
    <w:p w14:paraId="505A0706" w14:textId="308C5B68" w:rsid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preparation of financial analysis reports;</w:t>
      </w:r>
    </w:p>
    <w:p w14:paraId="7C1D2161" w14:textId="7F468635" w:rsidR="00C859A4" w:rsidRP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analysis of patrimonial operations in order to establish the fiscal approach applicable to the transactions on roll, as well as to establish the legal framework for their regulation.</w:t>
      </w:r>
    </w:p>
    <w:p w14:paraId="2EB86662" w14:textId="5902E9B3" w:rsidR="00BD0A65" w:rsidRPr="00BD0A65" w:rsidRDefault="00C859A4" w:rsidP="00BD0A65">
      <w:pPr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8174A7">
        <w:rPr>
          <w:rFonts w:ascii="Times New Roman" w:eastAsia="Times New Roman" w:hAnsi="Times New Roman" w:cs="Times New Roman"/>
          <w:color w:val="0E4194"/>
          <w:sz w:val="20"/>
          <w:szCs w:val="20"/>
          <w:lang w:eastAsia="ro-RO"/>
        </w:rPr>
        <w:t xml:space="preserve">09/2001–02/2002 </w:t>
      </w:r>
      <w:r w:rsidRPr="008174A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Economist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(Sales and marketing department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)</w:t>
      </w:r>
    </w:p>
    <w:p w14:paraId="733C7AAA" w14:textId="3E72EC0B" w:rsidR="00BD0A65" w:rsidRPr="00BD0A65" w:rsidRDefault="00BD0A65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Textor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SA,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Tg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Mures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(Rom</w:t>
      </w:r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nia)</w:t>
      </w:r>
    </w:p>
    <w:p w14:paraId="54E60BBB" w14:textId="5DA73E3E" w:rsidR="00BD0A65" w:rsidRDefault="00C859A4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preparation of marketing policies and strategies</w:t>
      </w:r>
    </w:p>
    <w:p w14:paraId="6D54C2A9" w14:textId="689332B0" w:rsidR="00C859A4" w:rsidRP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participation in a course regarding external commerce and marketing aspects organised by the Romanian Centre of External Commerce and S.I.P.P.O. (Swiss Imports Program</w:t>
      </w:r>
    </w:p>
    <w:p w14:paraId="185CEAC4" w14:textId="77777777" w:rsidR="00BD0A65" w:rsidRPr="00BD0A65" w:rsidRDefault="00BD0A65" w:rsidP="00BD0A65">
      <w:pPr>
        <w:spacing w:before="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p w14:paraId="3FA70EE9" w14:textId="06D70BEC" w:rsidR="00BD0A65" w:rsidRPr="00BD0A65" w:rsidRDefault="00BD0A65" w:rsidP="00BD0A65">
      <w:pPr>
        <w:spacing w:before="28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 xml:space="preserve">2000–2001 </w:t>
      </w:r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Chief of financial-accounting service</w:t>
      </w:r>
    </w:p>
    <w:p w14:paraId="06F3D2D8" w14:textId="75F64E8D" w:rsidR="00BD0A65" w:rsidRPr="00BD0A65" w:rsidRDefault="00BD0A65" w:rsidP="00BD0A65">
      <w:pPr>
        <w:spacing w:before="1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Textor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SA,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Tg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. </w:t>
      </w:r>
      <w:proofErr w:type="spellStart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Mures</w:t>
      </w:r>
      <w:proofErr w:type="spellEnd"/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(Rom</w:t>
      </w:r>
      <w:r w:rsidR="00C859A4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nia)</w:t>
      </w:r>
    </w:p>
    <w:p w14:paraId="0519A159" w14:textId="0D1C98D1" w:rsidR="00BD0A65" w:rsidRDefault="00C859A4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coordination and supervision of the entire accounting activity within the firm;</w:t>
      </w:r>
    </w:p>
    <w:p w14:paraId="2EDF34CC" w14:textId="60A21E6B" w:rsidR="00C859A4" w:rsidRDefault="00C859A4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The permanent study of </w:t>
      </w:r>
      <w:r w:rsidR="002F28E3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extant legislation in the financial-accounting field and its application within the company;</w:t>
      </w:r>
    </w:p>
    <w:p w14:paraId="4675E6AE" w14:textId="527AA3A2" w:rsidR="002F28E3" w:rsidRDefault="002F28E3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Verifying the accuracy of the accounting registrations;</w:t>
      </w:r>
    </w:p>
    <w:p w14:paraId="45E464A7" w14:textId="49442174" w:rsidR="002F28E3" w:rsidRDefault="002F28E3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development and implementation of the company’s accounting record system;</w:t>
      </w:r>
    </w:p>
    <w:p w14:paraId="55C43AC7" w14:textId="7E569D6E" w:rsidR="002F28E3" w:rsidRPr="00C859A4" w:rsidRDefault="002F28E3" w:rsidP="00C859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Carrying out accounting work based on a provision of services contract signed with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Texmur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S.A. company.</w:t>
      </w:r>
    </w:p>
    <w:p w14:paraId="434F8E9A" w14:textId="77777777" w:rsidR="00BD0A65" w:rsidRPr="00BD0A65" w:rsidRDefault="00BD0A65" w:rsidP="00BD0A65">
      <w:pPr>
        <w:spacing w:before="21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p w14:paraId="51D83D08" w14:textId="52B4F806" w:rsidR="00BD0A65" w:rsidRPr="00BD0A65" w:rsidRDefault="00BD0A65" w:rsidP="002F28E3">
      <w:pPr>
        <w:spacing w:before="7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 xml:space="preserve">1998–2000 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Economist </w:t>
      </w:r>
      <w:r w:rsidR="002F28E3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(Financial-accounting service)</w:t>
      </w:r>
    </w:p>
    <w:p w14:paraId="2E38F4FD" w14:textId="3FFA0EAC" w:rsidR="00BD0A65" w:rsidRDefault="002F28E3" w:rsidP="002F2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- Recording the financial-accounting; </w:t>
      </w:r>
    </w:p>
    <w:p w14:paraId="7711AEFA" w14:textId="4A3A04C7" w:rsidR="002F28E3" w:rsidRDefault="002F28E3" w:rsidP="002F2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Analyses regarding the income and expenses, respectively receipts and payments;</w:t>
      </w:r>
    </w:p>
    <w:p w14:paraId="497BD8B8" w14:textId="2F35E0CA" w:rsidR="002F28E3" w:rsidRPr="002F28E3" w:rsidRDefault="002F28E3" w:rsidP="002F2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Economic-financial analyses and other reports under the guidance of the Economic Director;</w:t>
      </w:r>
    </w:p>
    <w:p w14:paraId="5A1B5278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6537A726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</w:p>
    <w:p w14:paraId="231449AD" w14:textId="56C01C69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EDUCA</w:t>
      </w:r>
      <w:r w:rsidR="002F28E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TION AND TRAINING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  <w:t> </w:t>
      </w:r>
    </w:p>
    <w:p w14:paraId="5C5B48C3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</w:p>
    <w:p w14:paraId="350355A7" w14:textId="0A05F7FA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>2009–Pre</w:t>
      </w:r>
      <w:r w:rsidR="002F28E3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>sent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  <w:r w:rsidR="002F28E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Accounting Expert</w:t>
      </w:r>
    </w:p>
    <w:p w14:paraId="5E345DB1" w14:textId="77777777" w:rsidR="002F28E3" w:rsidRDefault="00BD0A65" w:rsidP="002F28E3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 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ab/>
      </w:r>
      <w:r w:rsidR="002F28E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The Body of Romanian Accounting Experts and Authorised Accountants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(CECCAR), </w:t>
      </w:r>
      <w:proofErr w:type="spellStart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Tg</w:t>
      </w:r>
      <w:proofErr w:type="spellEnd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. </w:t>
      </w:r>
      <w:proofErr w:type="spellStart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Mures</w:t>
      </w:r>
      <w:proofErr w:type="spellEnd"/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(Rom</w:t>
      </w:r>
      <w:r w:rsidR="002F28E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a</w:t>
      </w: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nia)</w:t>
      </w:r>
    </w:p>
    <w:p w14:paraId="2431BC07" w14:textId="77777777" w:rsidR="002F28E3" w:rsidRDefault="002F28E3" w:rsidP="002F28E3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2F28E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Financial accounting;</w:t>
      </w:r>
    </w:p>
    <w:p w14:paraId="164B4938" w14:textId="521FACB7" w:rsidR="00BD0A65" w:rsidRPr="002F28E3" w:rsidRDefault="002F28E3" w:rsidP="002F28E3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2F28E3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Analytical (managemental) accounting; </w:t>
      </w:r>
    </w:p>
    <w:p w14:paraId="7FDBDB0F" w14:textId="60287555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European directives and international standards in the field of accounting and audit;</w:t>
      </w:r>
    </w:p>
    <w:p w14:paraId="1C798578" w14:textId="68427A13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Romanian law and accounting legislation;</w:t>
      </w:r>
    </w:p>
    <w:p w14:paraId="59522077" w14:textId="196E7435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The evaluation of enterprises;</w:t>
      </w:r>
    </w:p>
    <w:p w14:paraId="14565254" w14:textId="60DFA652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lastRenderedPageBreak/>
        <w:t>The taxation of enterprises;</w:t>
      </w:r>
    </w:p>
    <w:p w14:paraId="7EFC718D" w14:textId="428CC499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Audit;</w:t>
      </w:r>
    </w:p>
    <w:p w14:paraId="2D5EED09" w14:textId="1C331FB9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Accounting systems and internal control;</w:t>
      </w:r>
    </w:p>
    <w:p w14:paraId="7054CA94" w14:textId="641FF70B" w:rsid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Financial-accounting diagnosis;</w:t>
      </w:r>
    </w:p>
    <w:p w14:paraId="39555536" w14:textId="251B1059" w:rsidR="0081289B" w:rsidRPr="0081289B" w:rsidRDefault="0081289B" w:rsidP="0081289B">
      <w:pPr>
        <w:pStyle w:val="ListParagraph"/>
        <w:numPr>
          <w:ilvl w:val="0"/>
          <w:numId w:val="1"/>
        </w:num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Continuous development through the professional preparation program organised by the profession regulation body: Graduation Certificate of the professional preparation courses: Fiscality (2009); IFRS (2011); IFRS – Accounting and fiscal aspects (2012); Accounting and management control (2013); IFRS – accounting and fiscal treatment (2014); IFRS (2015). </w:t>
      </w:r>
    </w:p>
    <w:p w14:paraId="614493D4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1EE8057B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462714E1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6458C35E" w14:textId="77777777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</w:p>
    <w:p w14:paraId="3C4BDFDD" w14:textId="75D63835" w:rsidR="00BD0A65" w:rsidRPr="00BD0A65" w:rsidRDefault="00BD0A65" w:rsidP="00BD0A65">
      <w:pPr>
        <w:tabs>
          <w:tab w:val="left" w:pos="2106"/>
        </w:tabs>
        <w:spacing w:after="0" w:line="240" w:lineRule="auto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>2009- Pre</w:t>
      </w:r>
      <w:r w:rsidR="00C91EE1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>sent</w:t>
      </w:r>
      <w:r w:rsidR="006023BB">
        <w:rPr>
          <w:rFonts w:ascii="Times New Roman" w:eastAsia="Times New Roman" w:hAnsi="Times New Roman" w:cs="Times New Roman"/>
          <w:color w:val="2F5496" w:themeColor="accent1" w:themeShade="BF"/>
          <w:sz w:val="20"/>
          <w:szCs w:val="20"/>
          <w:lang w:val="en-GB" w:eastAsia="ro-RO"/>
        </w:rPr>
        <w:tab/>
      </w:r>
      <w:r w:rsidR="006023BB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Financial Auditor</w:t>
      </w:r>
    </w:p>
    <w:p w14:paraId="45D7FEA5" w14:textId="6B8544B6" w:rsidR="00BD0A65" w:rsidRPr="00BD0A65" w:rsidRDefault="006023BB" w:rsidP="00BD0A65">
      <w:pPr>
        <w:spacing w:before="15"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Romanian Chamber of Financial Auditors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(CAFR), 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Buchares</w:t>
      </w:r>
      <w:r w:rsidR="00BC0B09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(Rom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nia)</w:t>
      </w:r>
    </w:p>
    <w:p w14:paraId="3528A46B" w14:textId="36091815" w:rsidR="009831E8" w:rsidRDefault="00BD0A65" w:rsidP="00983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</w:t>
      </w:r>
      <w:r w:rsidR="009831E8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Financial Audit</w:t>
      </w:r>
    </w:p>
    <w:p w14:paraId="15EDBD77" w14:textId="6930AB20" w:rsidR="009831E8" w:rsidRDefault="009831E8" w:rsidP="00983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Continuous professional preparation programme (courses taken in classic and E-learning systems, in the time period 2009-2015):</w:t>
      </w:r>
    </w:p>
    <w:p w14:paraId="0B21EAAE" w14:textId="2600E70F" w:rsidR="009831E8" w:rsidRPr="009831E8" w:rsidRDefault="009831E8" w:rsidP="00983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IFRS; The Audit of European funds; Changes brought to the Fiscal Code beginning with 2016; Changes of accounting regulations (2016).</w:t>
      </w:r>
    </w:p>
    <w:p w14:paraId="05F8DCC2" w14:textId="0739E02E" w:rsidR="00BD0A65" w:rsidRPr="00BD0A65" w:rsidRDefault="00BD0A65" w:rsidP="00BD0A65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>2008–Pre</w:t>
      </w:r>
      <w:r w:rsidR="009831E8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>s</w:t>
      </w: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>ent</w:t>
      </w:r>
      <w:r w:rsidR="006023BB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ab/>
      </w:r>
      <w:r w:rsidR="006023BB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ab/>
      </w:r>
      <w:r w:rsidR="006023BB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Fiscal Consultant</w:t>
      </w:r>
    </w:p>
    <w:p w14:paraId="3739BE2B" w14:textId="70EED0B2" w:rsidR="00BD0A65" w:rsidRPr="00BD0A65" w:rsidRDefault="006023BB" w:rsidP="006023B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 Romanian Chamber of Fiscal Consultants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(CCFISCALI), 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Bucharest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(Rom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a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nia)</w:t>
      </w:r>
    </w:p>
    <w:p w14:paraId="3D413A3C" w14:textId="5105525E" w:rsidR="00BD0A65" w:rsidRPr="00BD0A65" w:rsidRDefault="006023BB" w:rsidP="00BD0A6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ab/>
      </w:r>
    </w:p>
    <w:p w14:paraId="356E3251" w14:textId="356A83F4" w:rsidR="00BD0A65" w:rsidRDefault="00BD0A65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</w:t>
      </w:r>
      <w:r w:rsidR="006023BB"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 xml:space="preserve"> Specialty assistance and professional services in the fiscal field;</w:t>
      </w:r>
    </w:p>
    <w:p w14:paraId="52550753" w14:textId="1EE3B4D2" w:rsidR="006023BB" w:rsidRDefault="006023BB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3F3A38"/>
          <w:sz w:val="20"/>
          <w:szCs w:val="20"/>
          <w:lang w:val="en-GB" w:eastAsia="ro-RO"/>
        </w:rPr>
        <w:t>- Courses carried out through the continuous professional preparation:</w:t>
      </w:r>
    </w:p>
    <w:p w14:paraId="209C97B6" w14:textId="5FED9AFB" w:rsidR="006023BB" w:rsidRDefault="006023BB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2008CCF – Corporate tax; Income tax; Duties; Insolvency procedure; Regulation in the field of corporate tax; Fiscal Law;</w:t>
      </w:r>
    </w:p>
    <w:p w14:paraId="395F6DD2" w14:textId="12A08C53" w:rsidR="006023BB" w:rsidRDefault="006023BB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 xml:space="preserve">2009CCF – </w:t>
      </w:r>
      <w:r w:rsidR="002E6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Conventions for 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 xml:space="preserve">voiding double taxation; Transfer prices; The contestation regime/The arbitrage procedure; Fiscal procedure/Fiscal control; Structural funds; </w:t>
      </w:r>
      <w:r w:rsidR="009831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 xml:space="preserve">Excise duty regulations/The prevention and elimination of money laundering; Income tax and contributions to social budgets; Regulations regarding VAT; Regulations in the field of corporate tax; </w:t>
      </w:r>
      <w:r w:rsidR="002E6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Conventions for avoiding double taxation; Interpretation of contracts;</w:t>
      </w:r>
    </w:p>
    <w:p w14:paraId="3433FAE9" w14:textId="320D1508" w:rsidR="002E65CF" w:rsidRDefault="002E65CF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2010CCF – Fiscal inspection/Preventing and eliminating money laundering; Fiscal procedure; Income tax for non-residents – procedural updates; Local and international reorganisation; Regulations regarding corporate tax; Interpreting contracts; Legal regime of fiscal administration documents; Conventions for avoiding double taxation; Methods of contesting the documents emitted by the fiscal bodies;</w:t>
      </w:r>
    </w:p>
    <w:p w14:paraId="1678800D" w14:textId="728EC56D" w:rsidR="002E65CF" w:rsidRDefault="002E65CF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2011CCF – Methods of recovering commercial claims: costs and implications; VAT; Preventing and eliminating money laundering; Income tax for non-residents – procedural updates and impact; Accounting regulations; Excise duties and other special taxes; E-learning; VAT – place of provision;</w:t>
      </w:r>
    </w:p>
    <w:p w14:paraId="6A38DC88" w14:textId="2665D978" w:rsidR="002E65CF" w:rsidRDefault="002E65CF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2012CCF - Income tax for non-residents; VAT; Preventing and eliminating money laundering; Transfer prices; Duties; E-learning</w:t>
      </w:r>
      <w:r w:rsidR="003F3E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 xml:space="preserve"> – Transfer prices; E-learning – VAT – place of provision; E-learning – stable/permanent headquarters;</w:t>
      </w:r>
    </w:p>
    <w:p w14:paraId="2C5488B7" w14:textId="08793DD4" w:rsidR="003F3EEE" w:rsidRDefault="003F3EEE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2013CCF - Income tax; Corporate tax; Social contributions; Business mediation; VAT – legislative changes; Accounting regulations; Duties; Income tax for non-residents; Contesting the fiscal administrative documents; Fiscal procedure; Fiscal inspection; Procedural aspects regarding VAT; Fiscal law; Excise duties and other special taxes;</w:t>
      </w:r>
    </w:p>
    <w:p w14:paraId="2E45B4F9" w14:textId="41D1D1CE" w:rsidR="003F3EEE" w:rsidRDefault="003F3EEE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 xml:space="preserve">2014CCF - Facilities when paying VAT – legislative changes; Excise duties and other special taxes; Income tax; Corporate tax; Social contributions; Accounting regulations; VAT – implications in practice of the recent legislative changes; Transfer prices; Tax fraud – Legislative aspects; methods of detection and elimination; Local taxes and income taxes; Income tax for non-residents; </w:t>
      </w:r>
    </w:p>
    <w:p w14:paraId="0AC37E06" w14:textId="7FEAEAAE" w:rsidR="003F3EEE" w:rsidRDefault="003F3EEE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2015CCF – International taxing; Accounting regulations; Social contributions; Financial inspection procedure; Fiscal procedure regarding the registration of contributors; the rewritten Fiscal Procedure Code, new principles and approaches; International taxing; Accounting regulations; Social contributions;</w:t>
      </w:r>
    </w:p>
    <w:p w14:paraId="723A205A" w14:textId="3813ED21" w:rsidR="003F3EEE" w:rsidRPr="006023BB" w:rsidRDefault="003F3EEE" w:rsidP="0060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ro-RO"/>
        </w:rPr>
        <w:t>10.02.2016CCF – online course – Local taxes and income taxes – in actuality; 17.02.2016CCF – online course – Corporate tax.</w:t>
      </w:r>
    </w:p>
    <w:p w14:paraId="5F8D246A" w14:textId="77777777" w:rsidR="00BD0A65" w:rsidRPr="00BD0A65" w:rsidRDefault="00BD0A65" w:rsidP="00BD0A65">
      <w:pPr>
        <w:spacing w:before="345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1992–1997     </w:t>
      </w:r>
      <w:r w:rsidRPr="00BD0A65">
        <w:rPr>
          <w:rFonts w:ascii="Times New Roman" w:eastAsia="Times New Roman" w:hAnsi="Times New Roman" w:cs="Times New Roman"/>
          <w:color w:val="0E4194"/>
          <w:sz w:val="20"/>
          <w:szCs w:val="20"/>
          <w:lang w:val="en-GB" w:eastAsia="ro-RO"/>
        </w:rPr>
        <w:t>Economist</w:t>
      </w:r>
    </w:p>
    <w:p w14:paraId="44BAF24A" w14:textId="35C34C2B" w:rsidR="00BD0A65" w:rsidRDefault="003F3EEE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Faculty of Economic Sciences – “Babes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Bolyai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” University, Cluj-Napoca (Romania) Specialization:</w:t>
      </w:r>
    </w:p>
    <w:p w14:paraId="204DE48A" w14:textId="41520F76" w:rsidR="003F3EEE" w:rsidRPr="00BD0A65" w:rsidRDefault="003F3EEE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Management Accounting and Computer Science</w:t>
      </w:r>
    </w:p>
    <w:p w14:paraId="52EDDD6B" w14:textId="77777777" w:rsidR="00BD0A65" w:rsidRPr="00BD0A65" w:rsidRDefault="00BD0A65" w:rsidP="00BD0A65">
      <w:pPr>
        <w:spacing w:before="345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lastRenderedPageBreak/>
        <w:t>1988–1992</w:t>
      </w:r>
    </w:p>
    <w:p w14:paraId="0A54383A" w14:textId="2846104E" w:rsidR="00BD0A65" w:rsidRPr="00BD0A65" w:rsidRDefault="003F3EEE" w:rsidP="00BD0A65">
      <w:pPr>
        <w:spacing w:before="42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Theoretical College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"</w:t>
      </w:r>
      <w:proofErr w:type="spellStart"/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Petru</w:t>
      </w:r>
      <w:proofErr w:type="spellEnd"/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proofErr w:type="spellStart"/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Rares</w:t>
      </w:r>
      <w:proofErr w:type="spellEnd"/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", </w:t>
      </w:r>
      <w:proofErr w:type="spellStart"/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Beclean</w:t>
      </w:r>
      <w:proofErr w:type="spellEnd"/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(Ro</w:t>
      </w: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ma</w:t>
      </w:r>
      <w:r w:rsidR="00BD0A65"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nia)</w:t>
      </w:r>
    </w:p>
    <w:p w14:paraId="5BFDC131" w14:textId="43DA525D" w:rsidR="00BD0A65" w:rsidRPr="00BD0A65" w:rsidRDefault="00BD0A65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Profil</w:t>
      </w:r>
      <w:r w:rsidR="003F3EEE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e</w:t>
      </w: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: </w:t>
      </w:r>
      <w:r w:rsidR="003F3EEE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Mathematics-Physics </w:t>
      </w:r>
    </w:p>
    <w:p w14:paraId="30E95084" w14:textId="23B3DCB3" w:rsidR="00BD0A65" w:rsidRPr="00BD0A65" w:rsidRDefault="00BD0A65" w:rsidP="00BD0A65">
      <w:pPr>
        <w:spacing w:before="30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p w14:paraId="01C29805" w14:textId="3074044F" w:rsidR="00BD0A65" w:rsidRPr="00BD0A65" w:rsidRDefault="003F3EEE" w:rsidP="00BD0A65">
      <w:pPr>
        <w:spacing w:before="30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PERSONAL COMPETENCES</w:t>
      </w:r>
    </w:p>
    <w:p w14:paraId="214EB6E9" w14:textId="324FC8AC" w:rsidR="00BD0A65" w:rsidRPr="00BD0A65" w:rsidRDefault="008E6E7B" w:rsidP="00BD0A6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Native language(s) </w:t>
      </w:r>
      <w:r w:rsidRPr="008E6E7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o-RO"/>
        </w:rPr>
        <w:t>Romanian</w:t>
      </w:r>
    </w:p>
    <w:p w14:paraId="63CBB9DF" w14:textId="0105B28F" w:rsidR="00BD0A65" w:rsidRPr="00BD0A65" w:rsidRDefault="008E6E7B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Other known foreign languages </w:t>
      </w:r>
      <w:r w:rsidRPr="008E6E7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o-RO"/>
        </w:rPr>
        <w:t>English</w:t>
      </w:r>
    </w:p>
    <w:p w14:paraId="19A69DD2" w14:textId="77777777" w:rsidR="00BD0A65" w:rsidRPr="00BD0A65" w:rsidRDefault="00BD0A65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tbl>
      <w:tblPr>
        <w:tblW w:w="8082" w:type="dxa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410"/>
        <w:gridCol w:w="8"/>
        <w:gridCol w:w="1744"/>
        <w:gridCol w:w="1634"/>
        <w:gridCol w:w="1221"/>
      </w:tblGrid>
      <w:tr w:rsidR="008E6E7B" w:rsidRPr="00BD0A65" w14:paraId="6896AD60" w14:textId="77777777" w:rsidTr="003F3EEE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280133CB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2CB68E" w14:textId="223E6E3C" w:rsidR="00BD0A65" w:rsidRPr="00BD0A65" w:rsidRDefault="008E6E7B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UNDERSTANDING</w:t>
            </w:r>
          </w:p>
        </w:tc>
        <w:tc>
          <w:tcPr>
            <w:tcW w:w="0" w:type="auto"/>
          </w:tcPr>
          <w:p w14:paraId="3B644E30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121850CC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E04EEB" w14:textId="5873B27C" w:rsidR="00BD0A65" w:rsidRPr="00BD0A65" w:rsidRDefault="008E6E7B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SPEAKING</w:t>
            </w:r>
          </w:p>
        </w:tc>
        <w:tc>
          <w:tcPr>
            <w:tcW w:w="0" w:type="auto"/>
            <w:vAlign w:val="center"/>
            <w:hideMark/>
          </w:tcPr>
          <w:p w14:paraId="3D4058AD" w14:textId="5C92DA42" w:rsidR="00BD0A65" w:rsidRPr="00BD0A65" w:rsidRDefault="008E6E7B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WRITING</w:t>
            </w:r>
          </w:p>
        </w:tc>
      </w:tr>
      <w:tr w:rsidR="008E6E7B" w:rsidRPr="00BD0A65" w14:paraId="508F178C" w14:textId="77777777" w:rsidTr="003F3EEE">
        <w:trPr>
          <w:trHeight w:val="27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786357B" w14:textId="75B79C72" w:rsidR="00BD0A65" w:rsidRPr="00BD0A65" w:rsidRDefault="008E6E7B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Listening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BEA851" w14:textId="5D3BFB5C" w:rsidR="00BD0A65" w:rsidRPr="00BD0A65" w:rsidRDefault="008E6E7B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Reading</w:t>
            </w:r>
          </w:p>
        </w:tc>
        <w:tc>
          <w:tcPr>
            <w:tcW w:w="0" w:type="auto"/>
          </w:tcPr>
          <w:p w14:paraId="174C165A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D0235F6" w14:textId="6211B79B" w:rsidR="00BD0A65" w:rsidRPr="00BD0A65" w:rsidRDefault="008E6E7B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 xml:space="preserve">Partaking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DD1235" w14:textId="5BF9F01D" w:rsidR="00BD0A65" w:rsidRPr="00BD0A65" w:rsidRDefault="008E6E7B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Oral discourse</w:t>
            </w:r>
          </w:p>
        </w:tc>
        <w:tc>
          <w:tcPr>
            <w:tcW w:w="0" w:type="auto"/>
            <w:vAlign w:val="center"/>
            <w:hideMark/>
          </w:tcPr>
          <w:p w14:paraId="14104E0D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</w:tr>
      <w:tr w:rsidR="008E6E7B" w:rsidRPr="00BD0A65" w14:paraId="5F582785" w14:textId="77777777" w:rsidTr="003F3EEE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C8732FF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BC3203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</w:tcPr>
          <w:p w14:paraId="13D75A9C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7BBCB05" w14:textId="01D8C529" w:rsidR="00BD0A65" w:rsidRPr="00BD0A65" w:rsidRDefault="008E6E7B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In conversation</w:t>
            </w:r>
          </w:p>
        </w:tc>
        <w:tc>
          <w:tcPr>
            <w:tcW w:w="0" w:type="auto"/>
            <w:vMerge/>
            <w:vAlign w:val="center"/>
            <w:hideMark/>
          </w:tcPr>
          <w:p w14:paraId="0A684913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5DC8119A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</w:tr>
      <w:tr w:rsidR="008E6E7B" w:rsidRPr="00BD0A65" w14:paraId="4A573BD2" w14:textId="77777777" w:rsidTr="003F3EEE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53F10CB5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814B1A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</w:tcPr>
          <w:p w14:paraId="382B0BFF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781086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271ECB2F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659021" w14:textId="77777777" w:rsidR="00BD0A65" w:rsidRPr="00BD0A65" w:rsidRDefault="00BD0A65" w:rsidP="003F3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 </w:t>
            </w:r>
          </w:p>
        </w:tc>
      </w:tr>
      <w:tr w:rsidR="008E6E7B" w:rsidRPr="00BD0A65" w14:paraId="65D14FF6" w14:textId="77777777" w:rsidTr="003F3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14:paraId="0F9ECE78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5A6389A4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B2</w:t>
            </w:r>
          </w:p>
        </w:tc>
        <w:tc>
          <w:tcPr>
            <w:tcW w:w="0" w:type="auto"/>
          </w:tcPr>
          <w:p w14:paraId="37A42D53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306B8D57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291A0152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14:paraId="65B181E6" w14:textId="77777777" w:rsidR="00BD0A65" w:rsidRPr="00BD0A65" w:rsidRDefault="00BD0A65" w:rsidP="003F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</w:pPr>
            <w:r w:rsidRPr="00BD0A65">
              <w:rPr>
                <w:rFonts w:ascii="Times New Roman" w:eastAsia="Times New Roman" w:hAnsi="Times New Roman" w:cs="Times New Roman"/>
                <w:color w:val="0E4194"/>
                <w:sz w:val="20"/>
                <w:szCs w:val="20"/>
                <w:lang w:val="en-GB" w:eastAsia="ro-RO"/>
              </w:rPr>
              <w:t>B2</w:t>
            </w:r>
          </w:p>
        </w:tc>
      </w:tr>
    </w:tbl>
    <w:p w14:paraId="29F5706D" w14:textId="0719EF0C" w:rsidR="00BD0A65" w:rsidRPr="00BD0A65" w:rsidRDefault="008E6E7B" w:rsidP="00BD0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Graduation certificate of the course: Business English organised by CECCAR - 2009</w:t>
      </w:r>
    </w:p>
    <w:p w14:paraId="7501AA95" w14:textId="2BBFC6C6" w:rsidR="008E6E7B" w:rsidRDefault="008E6E7B" w:rsidP="00BD0A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>Levels: A1 and A2: Elementary user – B1 and B2: Independent user – C1 and C2: experienced user</w:t>
      </w:r>
    </w:p>
    <w:p w14:paraId="7DFAB266" w14:textId="01BCE7C0" w:rsidR="00112801" w:rsidRDefault="00BD0A65" w:rsidP="00112801">
      <w:pPr>
        <w:spacing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GB" w:eastAsia="ro-RO"/>
        </w:rPr>
      </w:pPr>
      <w:r w:rsidRPr="00BD0A65"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  <w:t xml:space="preserve"> </w:t>
      </w:r>
      <w:hyperlink r:id="rId7" w:history="1">
        <w:r w:rsidR="008E6E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ro-RO"/>
          </w:rPr>
          <w:t>The European common reference framework for foreign languages</w:t>
        </w:r>
      </w:hyperlink>
    </w:p>
    <w:p w14:paraId="47135D7B" w14:textId="77777777" w:rsidR="00112801" w:rsidRPr="00112801" w:rsidRDefault="00112801" w:rsidP="00112801">
      <w:pPr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tbl>
      <w:tblPr>
        <w:tblStyle w:val="TableGridLight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7505"/>
      </w:tblGrid>
      <w:tr w:rsidR="000B0ABB" w:rsidRPr="00ED0AC4" w14:paraId="554B516F" w14:textId="77777777" w:rsidTr="007C5643">
        <w:trPr>
          <w:trHeight w:val="330"/>
        </w:trPr>
        <w:tc>
          <w:tcPr>
            <w:tcW w:w="0" w:type="auto"/>
            <w:hideMark/>
          </w:tcPr>
          <w:p w14:paraId="68F8D52A" w14:textId="48A4CA48" w:rsidR="0067560A" w:rsidRPr="00ED0AC4" w:rsidRDefault="00ED0AC4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Communication Abilities </w:t>
            </w:r>
          </w:p>
        </w:tc>
        <w:tc>
          <w:tcPr>
            <w:tcW w:w="0" w:type="auto"/>
            <w:hideMark/>
          </w:tcPr>
          <w:p w14:paraId="2D168DD1" w14:textId="6DCBEBC9" w:rsidR="0067560A" w:rsidRPr="00ED0AC4" w:rsidRDefault="00ED0AC4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Good communication abilities acquired </w:t>
            </w:r>
            <w: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through independent collaboration</w:t>
            </w:r>
            <w:r w:rsidR="00E01D5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s which the free professions (accountant expert, fiscal consultant, financial auditor) have facilitated:</w:t>
            </w:r>
          </w:p>
        </w:tc>
      </w:tr>
      <w:tr w:rsidR="000B0ABB" w:rsidRPr="00ED0AC4" w14:paraId="40F97789" w14:textId="77777777" w:rsidTr="007C5643">
        <w:trPr>
          <w:trHeight w:val="270"/>
        </w:trPr>
        <w:tc>
          <w:tcPr>
            <w:tcW w:w="0" w:type="auto"/>
            <w:hideMark/>
          </w:tcPr>
          <w:p w14:paraId="44D36183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7C50C098" w14:textId="29201CC0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- </w:t>
            </w:r>
            <w:r w:rsidR="00E01D5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Communicating with ease;</w:t>
            </w:r>
          </w:p>
        </w:tc>
      </w:tr>
      <w:tr w:rsidR="000B0ABB" w:rsidRPr="00ED0AC4" w14:paraId="6DF13F9C" w14:textId="77777777" w:rsidTr="007C5643">
        <w:trPr>
          <w:trHeight w:val="300"/>
        </w:trPr>
        <w:tc>
          <w:tcPr>
            <w:tcW w:w="0" w:type="auto"/>
            <w:hideMark/>
          </w:tcPr>
          <w:p w14:paraId="3D6BA766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6601CBB8" w14:textId="1F218F25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- </w:t>
            </w:r>
            <w:r w:rsidR="00E01D5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Expressing my ideas efficiently; </w:t>
            </w:r>
          </w:p>
        </w:tc>
      </w:tr>
      <w:tr w:rsidR="000B0ABB" w:rsidRPr="00ED0AC4" w14:paraId="088C23F5" w14:textId="77777777" w:rsidTr="007C5643">
        <w:trPr>
          <w:trHeight w:val="285"/>
        </w:trPr>
        <w:tc>
          <w:tcPr>
            <w:tcW w:w="0" w:type="auto"/>
            <w:hideMark/>
          </w:tcPr>
          <w:p w14:paraId="5B2247D8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4D2B1331" w14:textId="7B5F2E3F" w:rsidR="0067560A" w:rsidRPr="00E01D54" w:rsidRDefault="00E01D54" w:rsidP="00E01D54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01D5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 Researching before coming up with ideas and offering my initiative</w:t>
            </w:r>
            <w:r w:rsidR="000B0ABB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.</w:t>
            </w:r>
          </w:p>
        </w:tc>
      </w:tr>
      <w:tr w:rsidR="000B0ABB" w:rsidRPr="00ED0AC4" w14:paraId="6559256C" w14:textId="77777777" w:rsidTr="007C5643">
        <w:trPr>
          <w:trHeight w:val="630"/>
        </w:trPr>
        <w:tc>
          <w:tcPr>
            <w:tcW w:w="0" w:type="auto"/>
            <w:hideMark/>
          </w:tcPr>
          <w:p w14:paraId="034C29BA" w14:textId="2AB6A8F0" w:rsidR="0067560A" w:rsidRPr="00ED0AC4" w:rsidRDefault="00ED0AC4" w:rsidP="00ED0AC4">
            <w:pPr>
              <w:tabs>
                <w:tab w:val="right" w:pos="2983"/>
              </w:tabs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Organisational/Managerial </w:t>
            </w: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Competences</w:t>
            </w:r>
          </w:p>
        </w:tc>
        <w:tc>
          <w:tcPr>
            <w:tcW w:w="0" w:type="auto"/>
            <w:hideMark/>
          </w:tcPr>
          <w:p w14:paraId="1BE96F22" w14:textId="1EB51A38" w:rsidR="0067560A" w:rsidRPr="00ED0AC4" w:rsidRDefault="00E01D54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Good organisational and management competences, acquired during the course of my career, as a result </w:t>
            </w:r>
            <w:r w:rsidR="000B0ABB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of occupying several management functions in the financial-accounting sector and of administrator of the specialty company through which I carry out my professional activity.</w:t>
            </w:r>
          </w:p>
        </w:tc>
      </w:tr>
      <w:tr w:rsidR="000B0ABB" w:rsidRPr="00ED0AC4" w14:paraId="4602201C" w14:textId="77777777" w:rsidTr="007C5643">
        <w:trPr>
          <w:trHeight w:val="285"/>
        </w:trPr>
        <w:tc>
          <w:tcPr>
            <w:tcW w:w="0" w:type="auto"/>
            <w:hideMark/>
          </w:tcPr>
          <w:p w14:paraId="70090172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2489655B" w14:textId="5E429BCB" w:rsidR="0067560A" w:rsidRPr="000B0ABB" w:rsidRDefault="000B0ABB" w:rsidP="000B0ABB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0B0ABB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 The capacity to analyse and establish the methods and terms to accomplish my targets;</w:t>
            </w:r>
          </w:p>
        </w:tc>
      </w:tr>
      <w:tr w:rsidR="000B0ABB" w:rsidRPr="00ED0AC4" w14:paraId="25CC2BC9" w14:textId="77777777" w:rsidTr="007C5643">
        <w:trPr>
          <w:trHeight w:val="285"/>
        </w:trPr>
        <w:tc>
          <w:tcPr>
            <w:tcW w:w="0" w:type="auto"/>
            <w:hideMark/>
          </w:tcPr>
          <w:p w14:paraId="5A96BA05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636B4893" w14:textId="5AE8183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- </w:t>
            </w:r>
            <w:r w:rsidR="000B0ABB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Correctitude and rapidity in decision-making in normal or extraordinary situations; </w:t>
            </w:r>
          </w:p>
        </w:tc>
      </w:tr>
      <w:tr w:rsidR="000B0ABB" w:rsidRPr="00ED0AC4" w14:paraId="70E84749" w14:textId="77777777" w:rsidTr="007C5643">
        <w:trPr>
          <w:trHeight w:val="270"/>
        </w:trPr>
        <w:tc>
          <w:tcPr>
            <w:tcW w:w="0" w:type="auto"/>
            <w:hideMark/>
          </w:tcPr>
          <w:p w14:paraId="24B88594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55E94426" w14:textId="6D2BC7DD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- </w:t>
            </w:r>
            <w:r w:rsidR="000B0ABB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Consistency in verifying the quality of achieving the established goals and the capacity to utilise the control results in order to improve my activity;</w:t>
            </w:r>
          </w:p>
        </w:tc>
      </w:tr>
      <w:tr w:rsidR="000B0ABB" w:rsidRPr="00ED0AC4" w14:paraId="7D37BEFB" w14:textId="77777777" w:rsidTr="007C5643">
        <w:trPr>
          <w:trHeight w:val="285"/>
        </w:trPr>
        <w:tc>
          <w:tcPr>
            <w:tcW w:w="0" w:type="auto"/>
            <w:hideMark/>
          </w:tcPr>
          <w:p w14:paraId="22C1770B" w14:textId="77777777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 </w:t>
            </w:r>
          </w:p>
        </w:tc>
        <w:tc>
          <w:tcPr>
            <w:tcW w:w="0" w:type="auto"/>
            <w:hideMark/>
          </w:tcPr>
          <w:p w14:paraId="7300B54A" w14:textId="116112B2" w:rsidR="0067560A" w:rsidRPr="00ED0AC4" w:rsidRDefault="0067560A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 xml:space="preserve">- </w:t>
            </w:r>
            <w:r w:rsidR="000B0ABB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Stimulating initiatives and promoting a proactive attitude in a collective environment;</w:t>
            </w:r>
          </w:p>
        </w:tc>
      </w:tr>
      <w:tr w:rsidR="000B0ABB" w:rsidRPr="00ED0AC4" w14:paraId="3A5D8FF9" w14:textId="77777777" w:rsidTr="007C5643">
        <w:trPr>
          <w:trHeight w:val="615"/>
        </w:trPr>
        <w:tc>
          <w:tcPr>
            <w:tcW w:w="0" w:type="auto"/>
            <w:hideMark/>
          </w:tcPr>
          <w:p w14:paraId="5EA6A0FD" w14:textId="13AAFF34" w:rsidR="0067560A" w:rsidRPr="00ED0AC4" w:rsidRDefault="00ED0AC4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 w:rsidRPr="00ED0AC4"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Competences acquired in the workplace</w:t>
            </w:r>
          </w:p>
        </w:tc>
        <w:tc>
          <w:tcPr>
            <w:tcW w:w="0" w:type="auto"/>
            <w:hideMark/>
          </w:tcPr>
          <w:p w14:paraId="397AE2DA" w14:textId="4C2491EF" w:rsidR="0067560A" w:rsidRPr="00ED0AC4" w:rsidRDefault="000B0ABB" w:rsidP="0055641F">
            <w:pP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</w:pPr>
            <w:r>
              <w:rPr>
                <w:rFonts w:ascii="Times New Roman" w:eastAsia="Times New Roman" w:hAnsi="Times New Roman" w:cs="Times New Roman"/>
                <w:color w:val="3F3A38"/>
                <w:sz w:val="20"/>
                <w:szCs w:val="20"/>
                <w:lang w:val="en-GB" w:eastAsia="ro-RO"/>
              </w:rPr>
              <w:t>Good numerical abilities, the capacity to analyse and synthetize mathematical calculations, the ability to continuously learn, problem solving abilities and organising skills (abilities gained during my experience in the financial-accounting field)</w:t>
            </w:r>
          </w:p>
        </w:tc>
      </w:tr>
    </w:tbl>
    <w:p w14:paraId="3810BEBC" w14:textId="6380293C" w:rsidR="00BD0A65" w:rsidRDefault="00112801" w:rsidP="00BD0A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val="en-GB" w:eastAsia="ro-RO"/>
        </w:rPr>
        <w:br w:type="textWrapping" w:clear="all"/>
      </w:r>
    </w:p>
    <w:p w14:paraId="52F6DA1E" w14:textId="631A935A" w:rsidR="0067560A" w:rsidRDefault="0067560A" w:rsidP="00BD0A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  <w:bookmarkStart w:id="0" w:name="_GoBack"/>
      <w:bookmarkEnd w:id="0"/>
    </w:p>
    <w:p w14:paraId="0D93D777" w14:textId="7BBD95B1" w:rsidR="0067560A" w:rsidRDefault="0067560A" w:rsidP="00BD0A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ro-RO"/>
        </w:rPr>
      </w:pPr>
    </w:p>
    <w:tbl>
      <w:tblPr>
        <w:tblStyle w:val="TableGridLight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63"/>
        <w:gridCol w:w="1786"/>
        <w:gridCol w:w="1480"/>
        <w:gridCol w:w="1480"/>
        <w:gridCol w:w="1480"/>
      </w:tblGrid>
      <w:tr w:rsidR="007C5643" w:rsidRPr="007C5643" w14:paraId="612BC62D" w14:textId="77777777" w:rsidTr="007C5643">
        <w:trPr>
          <w:trHeight w:val="315"/>
        </w:trPr>
        <w:tc>
          <w:tcPr>
            <w:tcW w:w="0" w:type="auto"/>
            <w:hideMark/>
          </w:tcPr>
          <w:p w14:paraId="6B7B9A9B" w14:textId="34D6CE4A" w:rsidR="007C5643" w:rsidRPr="007C5643" w:rsidRDefault="007C5643" w:rsidP="007C5643">
            <w:pPr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Digital Competence</w:t>
            </w:r>
          </w:p>
        </w:tc>
        <w:tc>
          <w:tcPr>
            <w:tcW w:w="0" w:type="auto"/>
            <w:gridSpan w:val="5"/>
            <w:hideMark/>
          </w:tcPr>
          <w:p w14:paraId="6831FFB6" w14:textId="0C11EE95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SELF-EVALUATION</w:t>
            </w:r>
          </w:p>
        </w:tc>
      </w:tr>
      <w:tr w:rsidR="007C5643" w:rsidRPr="007C5643" w14:paraId="26D5B212" w14:textId="77777777" w:rsidTr="007C5643">
        <w:trPr>
          <w:trHeight w:val="550"/>
        </w:trPr>
        <w:tc>
          <w:tcPr>
            <w:tcW w:w="0" w:type="auto"/>
            <w:hideMark/>
          </w:tcPr>
          <w:p w14:paraId="675E9D1D" w14:textId="07E47CB4" w:rsidR="007C5643" w:rsidRPr="007C5643" w:rsidRDefault="007C5643" w:rsidP="007C5643">
            <w:pPr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hideMark/>
          </w:tcPr>
          <w:p w14:paraId="68CD3C00" w14:textId="77777777" w:rsid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Information Processing</w:t>
            </w:r>
          </w:p>
          <w:p w14:paraId="33BE4989" w14:textId="388F3411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hideMark/>
          </w:tcPr>
          <w:p w14:paraId="2617EB1B" w14:textId="56CD6734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Communication</w:t>
            </w:r>
          </w:p>
        </w:tc>
        <w:tc>
          <w:tcPr>
            <w:tcW w:w="0" w:type="auto"/>
            <w:hideMark/>
          </w:tcPr>
          <w:p w14:paraId="7EA33895" w14:textId="12A90463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Content Creation</w:t>
            </w:r>
          </w:p>
        </w:tc>
        <w:tc>
          <w:tcPr>
            <w:tcW w:w="0" w:type="auto"/>
            <w:hideMark/>
          </w:tcPr>
          <w:p w14:paraId="53E30AB3" w14:textId="77777777" w:rsidR="007C5643" w:rsidRPr="007C5643" w:rsidRDefault="007C5643" w:rsidP="007C5643">
            <w:pPr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 </w:t>
            </w:r>
          </w:p>
          <w:p w14:paraId="56BE9ACC" w14:textId="481E4786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Securi</w:t>
            </w: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ty</w:t>
            </w:r>
          </w:p>
        </w:tc>
        <w:tc>
          <w:tcPr>
            <w:tcW w:w="0" w:type="auto"/>
            <w:hideMark/>
          </w:tcPr>
          <w:p w14:paraId="694568E3" w14:textId="3045556E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Problem Solving</w:t>
            </w:r>
          </w:p>
        </w:tc>
      </w:tr>
      <w:tr w:rsidR="007C5643" w:rsidRPr="007C5643" w14:paraId="5A75941E" w14:textId="77777777" w:rsidTr="007C5643">
        <w:trPr>
          <w:trHeight w:val="360"/>
        </w:trPr>
        <w:tc>
          <w:tcPr>
            <w:tcW w:w="0" w:type="auto"/>
            <w:hideMark/>
          </w:tcPr>
          <w:p w14:paraId="43E5A177" w14:textId="77777777" w:rsidR="007C5643" w:rsidRPr="007C5643" w:rsidRDefault="007C5643" w:rsidP="007C5643">
            <w:pPr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hideMark/>
          </w:tcPr>
          <w:p w14:paraId="5B702480" w14:textId="22971CA5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Independent User</w:t>
            </w:r>
          </w:p>
        </w:tc>
        <w:tc>
          <w:tcPr>
            <w:tcW w:w="0" w:type="auto"/>
            <w:hideMark/>
          </w:tcPr>
          <w:p w14:paraId="78352D45" w14:textId="7106DBC0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Independent User</w:t>
            </w:r>
          </w:p>
        </w:tc>
        <w:tc>
          <w:tcPr>
            <w:tcW w:w="0" w:type="auto"/>
            <w:hideMark/>
          </w:tcPr>
          <w:p w14:paraId="2B16AA0D" w14:textId="02FBB715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Independent User</w:t>
            </w:r>
          </w:p>
        </w:tc>
        <w:tc>
          <w:tcPr>
            <w:tcW w:w="0" w:type="auto"/>
            <w:hideMark/>
          </w:tcPr>
          <w:p w14:paraId="1F868379" w14:textId="0832A172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Independent User</w:t>
            </w:r>
          </w:p>
        </w:tc>
        <w:tc>
          <w:tcPr>
            <w:tcW w:w="0" w:type="auto"/>
            <w:hideMark/>
          </w:tcPr>
          <w:p w14:paraId="066E8F21" w14:textId="364EC750" w:rsidR="007C5643" w:rsidRPr="007C5643" w:rsidRDefault="007C5643" w:rsidP="007C5643">
            <w:pPr>
              <w:jc w:val="center"/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</w:pPr>
            <w:r w:rsidRPr="007C5643">
              <w:rPr>
                <w:rFonts w:ascii="Times New Roman" w:eastAsia="Times New Roman" w:hAnsi="Times New Roman" w:cs="Times New Roman"/>
                <w:color w:val="3F3A38"/>
                <w:sz w:val="24"/>
                <w:szCs w:val="24"/>
                <w:lang w:eastAsia="ro-RO"/>
              </w:rPr>
              <w:t>Independent User</w:t>
            </w:r>
          </w:p>
        </w:tc>
      </w:tr>
    </w:tbl>
    <w:p w14:paraId="3324A09C" w14:textId="77777777" w:rsidR="0067560A" w:rsidRPr="00BD0A65" w:rsidRDefault="0067560A" w:rsidP="00BD0A65">
      <w:pPr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GB" w:eastAsia="ro-RO"/>
        </w:rPr>
      </w:pPr>
    </w:p>
    <w:p w14:paraId="02F68B79" w14:textId="77777777" w:rsidR="0069637B" w:rsidRPr="00BD0A65" w:rsidRDefault="0069637B">
      <w:pPr>
        <w:rPr>
          <w:lang w:val="en-GB"/>
        </w:rPr>
      </w:pPr>
    </w:p>
    <w:sectPr w:rsidR="0069637B" w:rsidRPr="00BD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540D6"/>
    <w:multiLevelType w:val="hybridMultilevel"/>
    <w:tmpl w:val="EAF6853E"/>
    <w:lvl w:ilvl="0" w:tplc="04044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88"/>
    <w:rsid w:val="000B0ABB"/>
    <w:rsid w:val="00112801"/>
    <w:rsid w:val="001B6440"/>
    <w:rsid w:val="001F7795"/>
    <w:rsid w:val="002E65CF"/>
    <w:rsid w:val="002F28E3"/>
    <w:rsid w:val="003F3EEE"/>
    <w:rsid w:val="00500C35"/>
    <w:rsid w:val="00501688"/>
    <w:rsid w:val="006023BB"/>
    <w:rsid w:val="0067560A"/>
    <w:rsid w:val="0069637B"/>
    <w:rsid w:val="006D6D53"/>
    <w:rsid w:val="007C5643"/>
    <w:rsid w:val="0081289B"/>
    <w:rsid w:val="008E6E7B"/>
    <w:rsid w:val="008F3F29"/>
    <w:rsid w:val="009831E8"/>
    <w:rsid w:val="00B82CD7"/>
    <w:rsid w:val="00BC0B09"/>
    <w:rsid w:val="00BD0A65"/>
    <w:rsid w:val="00C755D4"/>
    <w:rsid w:val="00C859A4"/>
    <w:rsid w:val="00C91EE1"/>
    <w:rsid w:val="00D53E25"/>
    <w:rsid w:val="00DE5614"/>
    <w:rsid w:val="00E01D54"/>
    <w:rsid w:val="00E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6FB9"/>
  <w15:chartTrackingRefBased/>
  <w15:docId w15:val="{4224B3CE-8482-480F-BAD1-3201B4F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6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D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D0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C56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opass.cedefop.europa.eu/ro/resources/european-language-levels-ce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1D8315-CFDA-46E4-BD9B-806539FC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Login</dc:creator>
  <cp:keywords/>
  <dc:description/>
  <cp:lastModifiedBy>Andrei Login</cp:lastModifiedBy>
  <cp:revision>13</cp:revision>
  <dcterms:created xsi:type="dcterms:W3CDTF">2019-06-20T09:19:00Z</dcterms:created>
  <dcterms:modified xsi:type="dcterms:W3CDTF">2019-06-24T12:17:00Z</dcterms:modified>
</cp:coreProperties>
</file>